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76.png" ContentType="image/png"/>
  <Override PartName="/word/media/rId70.png" ContentType="image/png"/>
  <Override PartName="/word/media/rId79.png" ContentType="image/png"/>
  <Override PartName="/word/media/rId87.png" ContentType="image/png"/>
  <Override PartName="/word/media/rId91.png" ContentType="image/png"/>
  <Override PartName="/word/media/rId58.png" ContentType="image/png"/>
  <Override PartName="/word/media/rId41.png" ContentType="image/png"/>
  <Override PartName="/word/media/rId27.png" ContentType="image/png"/>
  <Override PartName="/word/media/rId54.png" ContentType="image/png"/>
  <Override PartName="/word/media/rId51.png" ContentType="image/png"/>
  <Override PartName="/word/media/rId48.png" ContentType="image/png"/>
  <Override PartName="/word/media/rId45.png" ContentType="image/png"/>
  <Override PartName="/word/media/rId62.png" ContentType="image/png"/>
  <Override PartName="/word/media/rId83.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spacing w:line="256" w:lineRule="auto"/>
        <w:ind w:firstLine="0"/>
        <w:jc w:val="center"/>
        <w:rPr>
          <w:szCs w:val="28"/>
        </w:rPr>
      </w:pPr>
      <w:r>
        <w:rPr>
          <w:szCs w:val="28"/>
        </w:rPr>
        <w:t>МИНОБРНАУКИ РОССИИ</w:t>
      </w:r>
    </w:p>
    <w:p>
      <w:pPr>
        <w:spacing w:line="256" w:lineRule="auto"/>
        <w:ind w:firstLine="0"/>
        <w:jc w:val="center"/>
        <w:rPr>
          <w:szCs w:val="28"/>
        </w:rPr>
      </w:pPr>
      <w:r>
        <w:rPr>
          <w:szCs w:val="28"/>
        </w:rPr>
        <w:t>федеральное государственное бюджетное образовательное учреждение высшего образования</w:t>
      </w:r>
    </w:p>
    <w:p>
      <w:pPr>
        <w:spacing w:line="256" w:lineRule="auto"/>
        <w:ind w:firstLine="0"/>
        <w:jc w:val="center"/>
        <w:rPr>
          <w:b/>
          <w:szCs w:val="28"/>
        </w:rPr>
      </w:pPr>
      <w:r>
        <w:rPr>
          <w:b/>
          <w:szCs w:val="28"/>
        </w:rPr>
        <w:t>«Санкт-Петербургский государственный морской технический университет»</w:t>
      </w:r>
    </w:p>
    <w:p>
      <w:pPr>
        <w:spacing w:line="256" w:lineRule="auto"/>
        <w:ind w:firstLine="0"/>
        <w:jc w:val="center"/>
        <w:rPr>
          <w:b/>
          <w:szCs w:val="28"/>
        </w:rPr>
      </w:pPr>
      <w:r>
        <w:rPr>
          <w:b/>
          <w:szCs w:val="28"/>
        </w:rPr>
        <w:t xml:space="preserve">(СПбГМТУ) </w:t>
      </w:r>
    </w:p>
    <w:p>
      <w:pPr>
        <w:spacing w:line="256" w:lineRule="auto"/>
        <w:ind w:firstLine="0"/>
        <w:jc w:val="center"/>
        <w:rPr>
          <w:b/>
          <w:sz w:val="22"/>
        </w:rPr>
      </w:pPr>
    </w:p>
    <w:p>
      <w:pPr>
        <w:spacing w:line="256" w:lineRule="auto"/>
        <w:ind w:firstLine="0"/>
        <w:jc w:val="center"/>
        <w:rPr>
          <w:b/>
          <w:sz w:val="22"/>
        </w:rPr>
      </w:pPr>
    </w:p>
    <w:tbl>
      <w:tblPr>
        <w:tblW w:w="0" w:type="auto"/>
        <w:tblInd w:w="5098" w:type="dxa"/>
        <w:tblLook w:val="04A0" w:firstRow="1" w:lastRow="0" w:firstColumn="1" w:lastColumn="0" w:noHBand="0" w:noVBand="1"/>
      </w:tblPr>
      <w:tblGrid>
        <w:gridCol w:w="326"/>
        <w:gridCol w:w="525"/>
        <w:gridCol w:w="326"/>
        <w:gridCol w:w="857"/>
        <w:gridCol w:w="98"/>
        <w:gridCol w:w="192"/>
        <w:gridCol w:w="691"/>
        <w:gridCol w:w="436"/>
        <w:gridCol w:w="608"/>
        <w:gridCol w:w="362"/>
      </w:tblGrid>
      <w:tr>
        <w:tc>
          <w:tcPr>
            <w:tcW w:w="4290" w:type="dxa"/>
            <w:gridSpan w:val="10"/>
            <w:hideMark/>
          </w:tcPr>
          <w:p>
            <w:pPr>
              <w:spacing w:line="276" w:lineRule="auto"/>
              <w:jc w:val="center"/>
              <w:rPr>
                <w:b/>
                <w:szCs w:val="28"/>
              </w:rPr>
              <w:ind w:firstLine="0"/>
            </w:pPr>
            <w:r>
              <w:rPr>
                <w:b/>
                <w:szCs w:val="28"/>
              </w:rPr>
              <w:t>Допущен к защите</w:t>
            </w:r>
          </w:p>
        </w:tc>
      </w:tr>
      <w:tr>
        <w:tc>
          <w:tcPr>
            <w:tcW w:w="4290" w:type="dxa"/>
            <w:gridSpan w:val="10"/>
            <w:hideMark/>
          </w:tcPr>
          <w:p>
            <w:pPr>
              <w:spacing w:line="276" w:lineRule="auto"/>
              <w:jc w:val="center"/>
              <w:rPr>
                <w:szCs w:val="28"/>
              </w:rPr>
              <w:ind w:firstLine="0"/>
            </w:pPr>
            <w:r>
              <w:rPr>
                <w:sz w:val="24"/>
                <w:szCs w:val="24"/>
              </w:rPr>
              <w:t>Заведующий кафедрой</w:t>
            </w:r>
          </w:p>
        </w:tc>
      </w:tr>
      <w:tr>
        <w:tc>
          <w:tcPr>
            <w:tcW w:w="4290" w:type="dxa"/>
            <w:gridSpan w:val="10"/>
          </w:tcPr>
          <w:p>
            <w:pPr>
              <w:spacing w:line="256" w:lineRule="auto"/>
              <w:jc w:val="center"/>
              <w:rPr>
                <w:sz w:val="22"/>
              </w:rPr>
              <w:ind w:firstLine="0"/>
            </w:pPr>
          </w:p>
        </w:tc>
      </w:tr>
      <w:tr>
        <w:tc>
          <w:tcPr>
            <w:tcW w:w="2034" w:type="dxa"/>
            <w:gridSpan w:val="4"/>
            <w:tcBorders>
              <w:top w:val="nil"/>
              <w:left w:val="nil"/>
              <w:bottom w:val="single" w:sz="4" w:space="0" w:color="auto"/>
              <w:right w:val="nil"/>
            </w:tcBorders>
          </w:tcPr>
          <w:p>
            <w:pPr>
              <w:spacing w:line="256" w:lineRule="auto"/>
              <w:jc w:val="right"/>
              <w:rPr>
                <w:b/>
                <w:sz w:val="22"/>
              </w:rPr>
              <w:ind w:firstLine="0"/>
            </w:pPr>
          </w:p>
        </w:tc>
        <w:tc>
          <w:tcPr>
            <w:tcW w:w="290" w:type="dxa"/>
            <w:gridSpan w:val="2"/>
            <w:hideMark/>
          </w:tcPr>
          <w:p>
            <w:pPr>
              <w:spacing w:line="256" w:lineRule="auto"/>
              <w:jc w:val="right"/>
              <w:rPr>
                <w:sz w:val="22"/>
              </w:rPr>
              <w:ind w:firstLine="0"/>
            </w:pPr>
            <w:r>
              <w:rPr>
                <w:sz w:val="22"/>
              </w:rPr>
              <w:t>(</w:t>
            </w:r>
          </w:p>
        </w:tc>
        <w:tc>
          <w:tcPr>
            <w:tcW w:w="1735" w:type="dxa"/>
            <w:gridSpan w:val="3"/>
            <w:tcBorders>
              <w:top w:val="nil"/>
              <w:left w:val="nil"/>
              <w:bottom w:val="single" w:sz="4" w:space="0" w:color="auto"/>
              <w:right w:val="nil"/>
            </w:tcBorders>
            <w:hideMark/>
          </w:tcPr>
          <w:p>
            <w:pPr>
              <w:spacing w:line="256" w:lineRule="auto"/>
              <w:jc w:val="left"/>
              <w:rPr>
                <w:sz w:val="24"/>
                <w:szCs w:val="24"/>
              </w:rPr>
              <w:ind w:firstLine="0"/>
            </w:pPr>
            <w:r>
              <w:rPr>
                <w:sz w:val="24"/>
                <w:szCs w:val="24"/>
              </w:rPr>
              <w:t xml:space="preserve">Галушин С.Я.</w:t>
            </w:r>
          </w:p>
        </w:tc>
        <w:tc>
          <w:tcPr>
            <w:tcW w:w="236" w:type="dxa"/>
            <w:hideMark/>
          </w:tcPr>
          <w:p>
            <w:pPr>
              <w:spacing w:line="256" w:lineRule="auto"/>
              <w:jc w:val="right"/>
              <w:rPr>
                <w:sz w:val="22"/>
              </w:rPr>
              <w:ind w:firstLine="0"/>
            </w:pPr>
            <w:r>
              <w:rPr>
                <w:sz w:val="22"/>
              </w:rPr>
              <w:t>)</w:t>
            </w:r>
          </w:p>
        </w:tc>
      </w:tr>
      <w:tr>
        <w:tc>
          <w:tcPr>
            <w:tcW w:w="2132" w:type="dxa"/>
            <w:gridSpan w:val="5"/>
            <w:hideMark/>
          </w:tcPr>
          <w:p>
            <w:pPr>
              <w:spacing w:line="256" w:lineRule="auto"/>
              <w:jc w:val="center"/>
              <w:rPr>
                <w:sz w:val="14"/>
              </w:rPr>
              <w:ind w:firstLine="0"/>
            </w:pPr>
            <w:r>
              <w:rPr>
                <w:sz w:val="14"/>
              </w:rPr>
              <w:t>(подпись)</w:t>
            </w:r>
          </w:p>
        </w:tc>
        <w:tc>
          <w:tcPr>
            <w:tcW w:w="2158" w:type="dxa"/>
            <w:gridSpan w:val="5"/>
            <w:hideMark/>
          </w:tcPr>
          <w:p>
            <w:pPr>
              <w:spacing w:line="276" w:lineRule="auto"/>
              <w:jc w:val="center"/>
              <w:rPr>
                <w:sz w:val="14"/>
              </w:rPr>
              <w:ind w:firstLine="0"/>
            </w:pPr>
            <w:r>
              <w:rPr>
                <w:sz w:val="14"/>
              </w:rPr>
              <w:t>(Ф.И.О.)</w:t>
            </w:r>
          </w:p>
        </w:tc>
      </w:tr>
      <w:tr>
        <w:tc>
          <w:tcPr>
            <w:tcW w:w="326" w:type="dxa"/>
            <w:hideMark/>
          </w:tcPr>
          <w:p>
            <w:pPr>
              <w:spacing w:line="256" w:lineRule="auto"/>
              <w:jc w:val="center"/>
              <w:rPr>
                <w:sz w:val="22"/>
              </w:rPr>
              <w:ind w:firstLine="0"/>
            </w:pPr>
            <w:r>
              <w:rPr>
                <w:sz w:val="22"/>
              </w:rPr>
              <w:t>«</w:t>
            </w:r>
          </w:p>
        </w:tc>
        <w:tc>
          <w:tcPr>
            <w:tcW w:w="525" w:type="dxa"/>
            <w:tcBorders>
              <w:top w:val="nil"/>
              <w:left w:val="nil"/>
              <w:bottom w:val="single" w:sz="4" w:space="0" w:color="auto"/>
              <w:right w:val="nil"/>
            </w:tcBorders>
          </w:tcPr>
          <w:p>
            <w:pPr>
              <w:spacing w:line="256" w:lineRule="auto"/>
              <w:jc w:val="center"/>
              <w:rPr>
                <w:sz w:val="22"/>
              </w:rPr>
              <w:ind w:firstLine="0"/>
            </w:pPr>
          </w:p>
        </w:tc>
        <w:tc>
          <w:tcPr>
            <w:tcW w:w="326" w:type="dxa"/>
            <w:hideMark/>
          </w:tcPr>
          <w:p>
            <w:pPr>
              <w:spacing w:line="256" w:lineRule="auto"/>
              <w:jc w:val="center"/>
              <w:rPr>
                <w:sz w:val="22"/>
              </w:rPr>
              <w:ind w:firstLine="0"/>
            </w:pPr>
            <w:r>
              <w:rPr>
                <w:sz w:val="22"/>
              </w:rPr>
              <w:t>»</w:t>
            </w:r>
          </w:p>
        </w:tc>
        <w:tc>
          <w:tcPr>
            <w:tcW w:w="1838" w:type="dxa"/>
            <w:gridSpan w:val="4"/>
            <w:tcBorders>
              <w:top w:val="nil"/>
              <w:left w:val="nil"/>
              <w:bottom w:val="single" w:sz="4" w:space="0" w:color="auto"/>
              <w:right w:val="nil"/>
            </w:tcBorders>
          </w:tcPr>
          <w:p>
            <w:pPr>
              <w:spacing w:line="256" w:lineRule="auto"/>
              <w:jc w:val="center"/>
              <w:rPr>
                <w:sz w:val="22"/>
              </w:rPr>
              <w:ind w:firstLine="0"/>
            </w:pPr>
          </w:p>
        </w:tc>
        <w:tc>
          <w:tcPr>
            <w:tcW w:w="436" w:type="dxa"/>
            <w:hideMark/>
          </w:tcPr>
          <w:p>
            <w:pPr>
              <w:spacing w:line="256" w:lineRule="auto"/>
              <w:jc w:val="center"/>
              <w:rPr>
                <w:sz w:val="22"/>
              </w:rPr>
              <w:ind w:firstLine="0"/>
            </w:pPr>
            <w:r>
              <w:rPr>
                <w:sz w:val="22"/>
              </w:rPr>
              <w:t>20</w:t>
            </w:r>
          </w:p>
        </w:tc>
        <w:tc>
          <w:tcPr>
            <w:tcW w:w="608" w:type="dxa"/>
            <w:tcBorders>
              <w:top w:val="nil"/>
              <w:left w:val="nil"/>
              <w:bottom w:val="single" w:sz="4" w:space="0" w:color="auto"/>
              <w:right w:val="nil"/>
            </w:tcBorders>
            <w:hideMark/>
          </w:tcPr>
          <w:p>
            <w:pPr>
              <w:spacing w:line="256" w:lineRule="auto"/>
              <w:jc w:val="center"/>
              <w:rPr>
                <w:sz w:val="22"/>
              </w:rPr>
              <w:ind w:firstLine="0"/>
            </w:pPr>
            <w:r>
              <w:rPr>
                <w:sz w:val="22"/>
              </w:rPr>
              <w:t>2</w:t>
            </w:r>
            <w:r>
              <w:rPr>
                <w:sz w:val="22"/>
              </w:rPr>
              <w:t>6</w:t>
            </w:r>
          </w:p>
        </w:tc>
        <w:tc>
          <w:tcPr>
            <w:tcW w:w="236" w:type="dxa"/>
            <w:hideMark/>
          </w:tcPr>
          <w:p>
            <w:pPr>
              <w:spacing w:line="256" w:lineRule="auto"/>
              <w:jc w:val="center"/>
              <w:rPr>
                <w:sz w:val="22"/>
              </w:rPr>
              <w:ind w:firstLine="0"/>
            </w:pPr>
            <w:r>
              <w:rPr>
                <w:sz w:val="22"/>
              </w:rPr>
              <w:t>г.</w:t>
            </w:r>
          </w:p>
        </w:tc>
      </w:tr>
    </w:tbl>
    <w:p>
      <w:pPr>
        <w:spacing w:line="256" w:lineRule="auto"/>
        <w:ind w:firstLine="0"/>
        <w:jc w:val="right"/>
        <w:rPr>
          <w:b/>
          <w:sz w:val="22"/>
        </w:rPr>
      </w:pPr>
    </w:p>
    <w:p>
      <w:pPr>
        <w:spacing w:line="256" w:lineRule="auto"/>
        <w:ind w:firstLine="0"/>
        <w:jc w:val="right"/>
        <w:rPr>
          <w:b/>
          <w:sz w:val="22"/>
        </w:rPr>
      </w:pPr>
    </w:p>
    <w:tbl>
      <w:tblPr>
        <w:tblW w:w="0" w:type="auto"/>
        <w:tblLook w:val="04A0" w:firstRow="1" w:lastRow="0" w:firstColumn="1" w:lastColumn="0" w:noHBand="0" w:noVBand="1"/>
      </w:tblPr>
      <w:tblGrid>
        <w:gridCol w:w="1129"/>
        <w:gridCol w:w="284"/>
        <w:gridCol w:w="2982"/>
        <w:gridCol w:w="136"/>
        <w:gridCol w:w="572"/>
        <w:gridCol w:w="137"/>
        <w:gridCol w:w="4105"/>
      </w:tblGrid>
      <w:tr>
        <w:tc>
          <w:tcPr>
            <w:tcW w:w="1413" w:type="dxa"/>
            <w:gridSpan w:val="2"/>
            <w:hideMark/>
          </w:tcPr>
          <w:p>
            <w:pPr>
              <w:spacing w:line="256" w:lineRule="auto"/>
              <w:rPr>
                <w:sz w:val="24"/>
                <w:szCs w:val="24"/>
              </w:rPr>
              <w:ind w:firstLine="0"/>
            </w:pPr>
            <w:r>
              <w:rPr>
                <w:sz w:val="24"/>
                <w:szCs w:val="24"/>
              </w:rPr>
              <w:t>Факультет</w:t>
            </w:r>
          </w:p>
        </w:tc>
        <w:tc>
          <w:tcPr>
            <w:tcW w:w="7932" w:type="dxa"/>
            <w:gridSpan w:val="5"/>
            <w:tcBorders>
              <w:top w:val="nil"/>
              <w:left w:val="nil"/>
              <w:bottom w:val="single" w:sz="4" w:space="0" w:color="auto"/>
              <w:right w:val="nil"/>
            </w:tcBorders>
            <w:hideMark/>
          </w:tcPr>
          <w:p>
            <w:pPr>
              <w:spacing w:line="256" w:lineRule="auto"/>
              <w:rPr>
                <w:sz w:val="24"/>
                <w:szCs w:val="24"/>
              </w:rPr>
              <w:ind w:firstLine="0"/>
            </w:pPr>
            <w:r>
              <w:rPr>
                <w:sz w:val="24"/>
                <w:szCs w:val="24"/>
              </w:rPr>
              <w:t xml:space="preserve">корабельной энергетики и автоматики</w:t>
            </w:r>
          </w:p>
        </w:tc>
      </w:tr>
      <w:tr>
        <w:tc>
          <w:tcPr>
            <w:tcW w:w="1413" w:type="dxa"/>
            <w:gridSpan w:val="2"/>
          </w:tcPr>
          <w:p>
            <w:pPr>
              <w:spacing w:line="256" w:lineRule="auto"/>
              <w:jc w:val="right"/>
              <w:rPr>
                <w:sz w:val="24"/>
                <w:szCs w:val="24"/>
              </w:rPr>
              <w:ind w:firstLine="0"/>
            </w:pPr>
          </w:p>
        </w:tc>
        <w:tc>
          <w:tcPr>
            <w:tcW w:w="7932" w:type="dxa"/>
            <w:gridSpan w:val="5"/>
            <w:tcBorders>
              <w:top w:val="single" w:sz="4" w:space="0" w:color="auto"/>
              <w:left w:val="nil"/>
              <w:bottom w:val="nil"/>
              <w:right w:val="nil"/>
            </w:tcBorders>
          </w:tcPr>
          <w:p>
            <w:pPr>
              <w:spacing w:line="256" w:lineRule="auto"/>
              <w:jc w:val="right"/>
              <w:rPr>
                <w:sz w:val="24"/>
                <w:szCs w:val="24"/>
              </w:rPr>
              <w:ind w:firstLine="0"/>
            </w:pPr>
          </w:p>
        </w:tc>
      </w:tr>
      <w:tr>
        <w:tc>
          <w:tcPr>
            <w:tcW w:w="1129" w:type="dxa"/>
            <w:hideMark/>
          </w:tcPr>
          <w:p>
            <w:pPr>
              <w:spacing w:line="256" w:lineRule="auto"/>
              <w:rPr>
                <w:sz w:val="24"/>
                <w:szCs w:val="24"/>
              </w:rPr>
              <w:ind w:firstLine="0"/>
            </w:pPr>
            <w:r>
              <w:rPr>
                <w:sz w:val="24"/>
                <w:szCs w:val="24"/>
              </w:rPr>
              <w:t>Кафедра</w:t>
            </w:r>
          </w:p>
        </w:tc>
        <w:tc>
          <w:tcPr>
            <w:tcW w:w="8216" w:type="dxa"/>
            <w:gridSpan w:val="6"/>
            <w:tcBorders>
              <w:top w:val="nil"/>
              <w:left w:val="nil"/>
              <w:bottom w:val="single" w:sz="4" w:space="0" w:color="auto"/>
              <w:right w:val="nil"/>
            </w:tcBorders>
            <w:hideMark/>
          </w:tcPr>
          <w:p>
            <w:pPr>
              <w:spacing w:line="256" w:lineRule="auto"/>
              <w:rPr>
                <w:sz w:val="24"/>
                <w:szCs w:val="24"/>
              </w:rPr>
              <w:ind w:firstLine="0"/>
            </w:pPr>
            <w:r>
              <w:rPr>
                <w:sz w:val="24"/>
                <w:szCs w:val="24"/>
              </w:rPr>
              <w:t xml:space="preserve">судовой автоматики и измерений</w:t>
            </w:r>
          </w:p>
        </w:tc>
      </w:tr>
      <w:tr>
        <w:tc>
          <w:tcPr>
            <w:tcW w:w="1413" w:type="dxa"/>
            <w:gridSpan w:val="2"/>
          </w:tcPr>
          <w:p>
            <w:pPr>
              <w:spacing w:line="256" w:lineRule="auto"/>
              <w:rPr>
                <w:sz w:val="24"/>
                <w:szCs w:val="24"/>
              </w:rPr>
              <w:ind w:firstLine="0"/>
            </w:pPr>
          </w:p>
        </w:tc>
        <w:tc>
          <w:tcPr>
            <w:tcW w:w="7932" w:type="dxa"/>
            <w:gridSpan w:val="5"/>
            <w:tcBorders>
              <w:top w:val="single" w:sz="4" w:space="0" w:color="auto"/>
              <w:left w:val="nil"/>
              <w:bottom w:val="nil"/>
              <w:right w:val="nil"/>
            </w:tcBorders>
          </w:tcPr>
          <w:p>
            <w:pPr>
              <w:spacing w:line="256" w:lineRule="auto"/>
              <w:rPr>
                <w:sz w:val="24"/>
                <w:szCs w:val="24"/>
              </w:rPr>
              <w:ind w:firstLine="0"/>
            </w:pPr>
          </w:p>
        </w:tc>
      </w:tr>
      <w:tr>
        <w:tc>
          <w:tcPr>
            <w:tcW w:w="4531" w:type="dxa"/>
            <w:gridSpan w:val="4"/>
            <w:hideMark/>
          </w:tcPr>
          <w:p>
            <w:pPr>
              <w:spacing w:line="256" w:lineRule="auto"/>
              <w:rPr>
                <w:sz w:val="24"/>
                <w:szCs w:val="24"/>
              </w:rPr>
              <w:ind w:firstLine="0"/>
            </w:pPr>
            <w:r>
              <w:rPr>
                <w:sz w:val="24"/>
                <w:szCs w:val="24"/>
              </w:rPr>
              <w:t>Направление подготовки (специальность)</w:t>
            </w:r>
          </w:p>
        </w:tc>
        <w:tc>
          <w:tcPr>
            <w:tcW w:w="4814" w:type="dxa"/>
            <w:gridSpan w:val="3"/>
            <w:tcBorders>
              <w:top w:val="nil"/>
              <w:left w:val="nil"/>
              <w:bottom w:val="single" w:sz="4" w:space="0" w:color="auto"/>
              <w:right w:val="nil"/>
            </w:tcBorders>
            <w:hideMark/>
          </w:tcPr>
          <w:p>
            <w:pPr>
              <w:spacing w:line="256" w:lineRule="auto"/>
              <w:rPr>
                <w:sz w:val="24"/>
              </w:rPr>
              <w:ind w:firstLine="0"/>
            </w:pPr>
            <w:r>
              <w:rPr>
                <w:sz w:val="24"/>
              </w:rPr>
              <w:t xml:space="preserve">10.03.01 Информационная безопасность</w:t>
            </w:r>
          </w:p>
        </w:tc>
      </w:tr>
      <w:tr>
        <w:tc>
          <w:tcPr>
            <w:tcW w:w="4395" w:type="dxa"/>
            <w:gridSpan w:val="3"/>
          </w:tcPr>
          <w:p>
            <w:pPr>
              <w:spacing w:line="256" w:lineRule="auto"/>
              <w:rPr>
                <w:sz w:val="22"/>
              </w:rPr>
              <w:ind w:firstLine="0"/>
            </w:pPr>
          </w:p>
        </w:tc>
        <w:tc>
          <w:tcPr>
            <w:tcW w:w="4950" w:type="dxa"/>
            <w:gridSpan w:val="4"/>
            <w:tcBorders>
              <w:top w:val="single" w:sz="4" w:space="0" w:color="auto"/>
              <w:left w:val="nil"/>
              <w:bottom w:val="nil"/>
              <w:right w:val="nil"/>
            </w:tcBorders>
            <w:hideMark/>
          </w:tcPr>
          <w:p>
            <w:pPr>
              <w:spacing w:line="256" w:lineRule="auto"/>
              <w:jc w:val="center"/>
              <w:rPr>
                <w:sz w:val="16"/>
              </w:rPr>
              <w:ind w:firstLine="0"/>
            </w:pPr>
            <w:r>
              <w:rPr>
                <w:sz w:val="16"/>
              </w:rPr>
              <w:t>(код, наименование)</w:t>
            </w:r>
          </w:p>
        </w:tc>
      </w:tr>
      <w:tr>
        <w:tc>
          <w:tcPr>
            <w:tcW w:w="5240" w:type="dxa"/>
            <w:gridSpan w:val="6"/>
            <w:hideMark/>
          </w:tcPr>
          <w:p>
            <w:pPr>
              <w:spacing w:line="256" w:lineRule="auto"/>
              <w:rPr>
                <w:sz w:val="24"/>
              </w:rPr>
              <w:ind w:firstLine="0"/>
            </w:pPr>
            <w:r>
              <w:rPr>
                <w:sz w:val="24"/>
              </w:rPr>
              <w:t>Направленность ООП (профиль, специальность)</w:t>
            </w:r>
          </w:p>
        </w:tc>
        <w:tc>
          <w:tcPr>
            <w:tcW w:w="4105" w:type="dxa"/>
            <w:tcBorders>
              <w:top w:val="nil"/>
              <w:left w:val="nil"/>
              <w:bottom w:val="single" w:sz="4" w:space="0" w:color="auto"/>
              <w:right w:val="nil"/>
            </w:tcBorders>
            <w:hideMark/>
          </w:tcPr>
          <w:p>
            <w:pPr>
              <w:spacing w:line="256" w:lineRule="auto"/>
              <w:rPr>
                <w:sz w:val="24"/>
              </w:rPr>
              <w:ind w:firstLine="0"/>
            </w:pPr>
            <w:r>
              <w:rPr>
                <w:sz w:val="24"/>
              </w:rPr>
              <w:t xml:space="preserve">10.03.01.04 Безопасность автоматизированных систем</w:t>
            </w:r>
          </w:p>
        </w:tc>
      </w:tr>
      <w:tr>
        <w:tc>
          <w:tcPr>
            <w:tcW w:w="5103" w:type="dxa"/>
            <w:gridSpan w:val="5"/>
          </w:tcPr>
          <w:p>
            <w:pPr>
              <w:spacing w:line="256" w:lineRule="auto"/>
              <w:rPr>
                <w:sz w:val="22"/>
              </w:rPr>
              <w:ind w:firstLine="0"/>
            </w:pPr>
          </w:p>
        </w:tc>
        <w:tc>
          <w:tcPr>
            <w:tcW w:w="4242" w:type="dxa"/>
            <w:gridSpan w:val="2"/>
            <w:tcBorders>
              <w:top w:val="single" w:sz="4" w:space="0" w:color="auto"/>
              <w:left w:val="nil"/>
              <w:bottom w:val="nil"/>
              <w:right w:val="nil"/>
            </w:tcBorders>
            <w:hideMark/>
          </w:tcPr>
          <w:p>
            <w:pPr>
              <w:spacing w:line="256" w:lineRule="auto"/>
              <w:jc w:val="center"/>
              <w:rPr>
                <w:sz w:val="16"/>
              </w:rPr>
              <w:ind w:firstLine="0"/>
            </w:pPr>
            <w:r>
              <w:rPr>
                <w:sz w:val="16"/>
              </w:rPr>
              <w:t>(код, наименование)</w:t>
            </w:r>
          </w:p>
        </w:tc>
      </w:tr>
      <w:tr>
        <w:tc>
          <w:tcPr>
            <w:tcW w:w="9237" w:type="dxa"/>
            <w:gridSpan w:val="7"/>
            <w:tcBorders>
              <w:top w:val="nil"/>
              <w:left w:val="nil"/>
              <w:bottom w:val="single" w:sz="4" w:space="0" w:color="auto"/>
              <w:right w:val="nil"/>
            </w:tcBorders>
            <w:hideMark/>
          </w:tcPr>
          <w:p>
            <w:pPr>
              <w:spacing w:line="256" w:lineRule="auto"/>
              <w:rPr>
                <w:sz w:val="24"/>
              </w:rPr>
              <w:ind w:firstLine="0"/>
            </w:pPr>
            <w:r>
              <w:rPr>
                <w:sz w:val="24"/>
              </w:rPr>
              <w:t xml:space="preserve"/>
            </w:r>
          </w:p>
        </w:tc>
      </w:tr>
    </w:tbl>
    <w:p>
      <w:pPr>
        <w:spacing w:line="256" w:lineRule="auto"/>
        <w:ind w:firstLine="0"/>
        <w:jc w:val="right"/>
        <w:rPr>
          <w:b/>
          <w:sz w:val="22"/>
        </w:rPr>
      </w:pPr>
    </w:p>
    <w:p>
      <w:pPr>
        <w:spacing w:line="256" w:lineRule="auto"/>
        <w:ind w:firstLine="0"/>
        <w:jc w:val="center"/>
        <w:rPr>
          <w:b/>
          <w:sz w:val="32"/>
          <w:szCs w:val="20"/>
        </w:rPr>
      </w:pPr>
      <w:r>
        <w:rPr>
          <w:b/>
          <w:sz w:val="32"/>
          <w:szCs w:val="20"/>
        </w:rPr>
        <w:t xml:space="preserve">ВЫПУСКНАЯ </w:t>
      </w:r>
    </w:p>
    <w:p>
      <w:pPr>
        <w:spacing w:line="256" w:lineRule="auto"/>
        <w:ind w:firstLine="0"/>
        <w:jc w:val="center"/>
        <w:rPr>
          <w:b/>
          <w:sz w:val="32"/>
          <w:szCs w:val="20"/>
        </w:rPr>
      </w:pPr>
      <w:r>
        <w:rPr>
          <w:b/>
          <w:sz w:val="32"/>
          <w:szCs w:val="20"/>
        </w:rPr>
        <w:t xml:space="preserve">КВАЛИФИКАЦИОННАЯ РАБОТА </w:t>
      </w:r>
    </w:p>
    <w:p>
      <w:pPr>
        <w:spacing w:line="256" w:lineRule="auto"/>
        <w:ind w:firstLine="0"/>
        <w:jc w:val="center"/>
        <w:rPr>
          <w:b/>
          <w:sz w:val="32"/>
          <w:szCs w:val="20"/>
        </w:rPr>
      </w:pPr>
      <w:r>
        <w:rPr>
          <w:b/>
          <w:sz w:val="32"/>
          <w:szCs w:val="20"/>
        </w:rPr>
        <w:t xml:space="preserve">БАКАЛАВРА</w:t>
      </w:r>
    </w:p>
    <w:p>
      <w:pPr>
        <w:spacing w:line="256" w:lineRule="auto"/>
        <w:ind w:firstLine="0"/>
        <w:jc w:val="center"/>
        <w:rPr>
          <w:b/>
          <w:sz w:val="32"/>
          <w:szCs w:val="20"/>
        </w:rPr>
      </w:pPr>
    </w:p>
    <w:tbl>
      <w:tblPr>
        <w:tblW w:w="0" w:type="auto"/>
        <w:tblInd w:w="108" w:type="dxa"/>
        <w:tblLook w:val="04A0" w:firstRow="1" w:lastRow="0" w:firstColumn="1" w:lastColumn="0" w:noHBand="0" w:noVBand="1"/>
      </w:tblPr>
      <w:tblGrid>
        <w:gridCol w:w="1276"/>
        <w:gridCol w:w="7961"/>
      </w:tblGrid>
      <w:tr>
        <w:tc>
          <w:tcPr>
            <w:tcW w:w="1276" w:type="dxa"/>
          </w:tcPr>
          <w:p>
            <w:pPr>
              <w:spacing w:before="240" w:line="256" w:lineRule="auto"/>
              <w:jc w:val="left"/>
              <w:rPr>
                <w:szCs w:val="24"/>
              </w:rPr>
              <w:ind w:firstLine="0"/>
            </w:pPr>
            <w:r>
              <w:rPr>
                <w:szCs w:val="24"/>
              </w:rPr>
              <w:t>На тему:</w:t>
            </w:r>
          </w:p>
        </w:tc>
        <w:tc>
          <w:tcPr>
            <w:tcW w:w="7961" w:type="dxa"/>
            <w:tcBorders>
              <w:top w:val="nil"/>
              <w:left w:val="nil"/>
              <w:bottom w:val="single" w:sz="4" w:space="0" w:color="auto"/>
              <w:right w:val="nil"/>
            </w:tcBorders>
          </w:tcPr>
          <w:p>
            <w:pPr>
              <w:spacing w:before="240" w:line="256" w:lineRule="auto"/>
              <w:jc w:val="center"/>
              <w:rPr>
                <w:szCs w:val="24"/>
              </w:rPr>
              <w:ind w:firstLine="0"/>
            </w:pPr>
            <w:r>
              <w:t xml:space="preserve">Разработка серверной части защищённой микросервисной</w:t>
            </w:r>
          </w:p>
        </w:tc>
      </w:tr>
      <w:tr>
        <w:tc>
          <w:tcPr>
            <w:tcW w:w="1276" w:type="dxa"/>
          </w:tcPr>
          <w:p>
            <w:pPr>
              <w:spacing w:before="240" w:line="256" w:lineRule="auto"/>
              <w:jc w:val="left"/>
              <w:rPr>
                <w:szCs w:val="24"/>
              </w:rPr>
              <w:ind w:firstLine="0"/>
            </w:pPr>
          </w:p>
        </w:tc>
        <w:tc>
          <w:tcPr>
            <w:tcW w:w="7961" w:type="dxa"/>
            <w:tcBorders>
              <w:top w:val="nil"/>
              <w:left w:val="nil"/>
              <w:bottom w:val="single" w:sz="4" w:space="0" w:color="auto"/>
              <w:right w:val="nil"/>
            </w:tcBorders>
          </w:tcPr>
          <w:p>
            <w:pPr>
              <w:spacing w:before="240" w:line="256" w:lineRule="auto"/>
              <w:jc w:val="center"/>
              <w:rPr>
                <w:szCs w:val="24"/>
              </w:rPr>
              <w:ind w:firstLine="0"/>
            </w:pPr>
            <w:r>
              <w:t xml:space="preserve">веб-платформы для управления лабораторным комплексом</w:t>
            </w:r>
          </w:p>
        </w:tc>
      </w:tr>
      <w:tr>
        <w:tc>
          <w:tcPr>
            <w:tcW w:w="1276" w:type="dxa"/>
          </w:tcPr>
          <w:p>
            <w:pPr>
              <w:spacing w:before="240" w:line="256" w:lineRule="auto"/>
              <w:jc w:val="left"/>
              <w:rPr>
                <w:szCs w:val="24"/>
              </w:rPr>
              <w:ind w:firstLine="0"/>
            </w:pPr>
          </w:p>
        </w:tc>
        <w:tc>
          <w:tcPr>
            <w:tcW w:w="7961" w:type="dxa"/>
            <w:tcBorders>
              <w:top w:val="nil"/>
              <w:left w:val="nil"/>
              <w:bottom w:val="single" w:sz="4" w:space="0" w:color="auto"/>
              <w:right w:val="nil"/>
            </w:tcBorders>
          </w:tcPr>
          <w:p>
            <w:pPr>
              <w:spacing w:before="240" w:line="256" w:lineRule="auto"/>
              <w:jc w:val="center"/>
              <w:rPr>
                <w:szCs w:val="24"/>
              </w:rPr>
              <w:ind w:firstLine="0"/>
            </w:pPr>
            <w:r>
              <w:t xml:space="preserve">обучения информационной безопасности</w:t>
            </w:r>
          </w:p>
        </w:tc>
      </w:tr>
    </w:tbl>
    <w:p>
      <w:pPr>
        <w:spacing w:line="256" w:lineRule="auto"/>
        <w:ind w:firstLine="0"/>
        <w:rPr>
          <w:b/>
          <w:sz w:val="22"/>
        </w:rPr>
      </w:pPr>
    </w:p>
    <w:tbl>
      <w:tblPr>
        <w:tblW w:w="0" w:type="auto"/>
        <w:tblInd w:w="704" w:type="dxa"/>
        <w:tblLook w:val="04A0" w:firstRow="1" w:lastRow="0" w:firstColumn="1" w:lastColumn="0" w:noHBand="0" w:noVBand="1"/>
      </w:tblPr>
      <w:tblGrid>
        <w:gridCol w:w="2268"/>
        <w:gridCol w:w="2828"/>
        <w:gridCol w:w="296"/>
        <w:gridCol w:w="2953"/>
        <w:gridCol w:w="296"/>
      </w:tblGrid>
      <w:tr>
        <w:tc>
          <w:tcPr>
            <w:tcW w:w="2268" w:type="dxa"/>
            <w:hideMark/>
          </w:tcPr>
          <w:p>
            <w:pPr>
              <w:spacing w:line="256" w:lineRule="auto"/>
              <w:rPr>
                <w:sz w:val="24"/>
              </w:rPr>
              <w:ind w:firstLine="0"/>
            </w:pPr>
            <w:r>
              <w:rPr>
                <w:sz w:val="24"/>
              </w:rPr>
              <w:t>ОБУЧАЮЩИЙСЯ</w:t>
            </w:r>
          </w:p>
        </w:tc>
        <w:tc>
          <w:tcPr>
            <w:tcW w:w="2828" w:type="dxa"/>
            <w:tcBorders>
              <w:top w:val="nil"/>
              <w:left w:val="nil"/>
              <w:bottom w:val="single" w:sz="4" w:space="0" w:color="auto"/>
              <w:right w:val="nil"/>
            </w:tcBorders>
          </w:tcPr>
          <w:p>
            <w:pPr>
              <w:spacing w:line="256" w:lineRule="auto"/>
              <w:rPr>
                <w:sz w:val="24"/>
              </w:rPr>
              <w:ind w:firstLine="0"/>
            </w:pPr>
          </w:p>
        </w:tc>
        <w:tc>
          <w:tcPr>
            <w:tcW w:w="296" w:type="dxa"/>
            <w:hideMark/>
          </w:tcPr>
          <w:p>
            <w:pPr>
              <w:spacing w:line="256" w:lineRule="auto"/>
              <w:rPr>
                <w:sz w:val="24"/>
              </w:rPr>
              <w:ind w:firstLine="0"/>
            </w:pPr>
            <w:r>
              <w:rPr>
                <w:sz w:val="24"/>
              </w:rPr>
              <w:t>(</w:t>
            </w:r>
          </w:p>
        </w:tc>
        <w:tc>
          <w:tcPr>
            <w:tcW w:w="2953" w:type="dxa"/>
            <w:tcBorders>
              <w:top w:val="nil"/>
              <w:left w:val="nil"/>
              <w:bottom w:val="single" w:sz="4" w:space="0" w:color="auto"/>
              <w:right w:val="nil"/>
            </w:tcBorders>
            <w:hideMark/>
          </w:tcPr>
          <w:p>
            <w:pPr>
              <w:spacing w:line="256" w:lineRule="auto"/>
              <w:jc w:val="center"/>
              <w:rPr>
                <w:sz w:val="24"/>
              </w:rPr>
              <w:ind w:firstLine="0"/>
            </w:pPr>
            <w:r>
              <w:rPr>
                <w:sz w:val="24"/>
                <w:szCs w:val="20"/>
              </w:rPr>
              <w:t>Переятенцев А.О.</w:t>
            </w:r>
          </w:p>
        </w:tc>
        <w:tc>
          <w:tcPr>
            <w:tcW w:w="296" w:type="dxa"/>
            <w:hideMark/>
          </w:tcPr>
          <w:p>
            <w:pPr>
              <w:spacing w:line="256" w:lineRule="auto"/>
              <w:rPr>
                <w:sz w:val="24"/>
              </w:rPr>
              <w:ind w:firstLine="0"/>
            </w:pPr>
            <w:r>
              <w:rPr>
                <w:sz w:val="24"/>
              </w:rPr>
              <w:t>)</w:t>
            </w:r>
          </w:p>
        </w:tc>
      </w:tr>
      <w:tr>
        <w:tc>
          <w:tcPr>
            <w:tcW w:w="2268" w:type="dxa"/>
          </w:tcPr>
          <w:p>
            <w:pPr>
              <w:spacing w:line="256" w:lineRule="auto"/>
              <w:rPr>
                <w:sz w:val="24"/>
              </w:rPr>
              <w:ind w:firstLine="0"/>
            </w:pPr>
          </w:p>
        </w:tc>
        <w:tc>
          <w:tcPr>
            <w:tcW w:w="2828" w:type="dxa"/>
            <w:tcBorders>
              <w:top w:val="single" w:sz="4" w:space="0" w:color="auto"/>
              <w:left w:val="nil"/>
              <w:bottom w:val="nil"/>
              <w:right w:val="nil"/>
            </w:tcBorders>
            <w:hideMark/>
          </w:tcPr>
          <w:p>
            <w:pPr>
              <w:spacing w:line="256" w:lineRule="auto"/>
              <w:jc w:val="center"/>
              <w:rPr>
                <w:sz w:val="14"/>
              </w:rPr>
              <w:ind w:firstLine="0"/>
            </w:pPr>
            <w:r>
              <w:rPr>
                <w:sz w:val="14"/>
              </w:rPr>
              <w:t>(подпись)</w:t>
            </w:r>
          </w:p>
        </w:tc>
        <w:tc>
          <w:tcPr>
            <w:tcW w:w="296" w:type="dxa"/>
          </w:tcPr>
          <w:p>
            <w:pPr>
              <w:spacing w:line="256" w:lineRule="auto"/>
              <w:rPr>
                <w:sz w:val="24"/>
              </w:rPr>
              <w:ind w:firstLine="0"/>
            </w:pPr>
          </w:p>
        </w:tc>
        <w:tc>
          <w:tcPr>
            <w:tcW w:w="2953" w:type="dxa"/>
            <w:tcBorders>
              <w:top w:val="single" w:sz="4" w:space="0" w:color="auto"/>
              <w:left w:val="nil"/>
              <w:bottom w:val="nil"/>
              <w:right w:val="nil"/>
            </w:tcBorders>
            <w:hideMark/>
          </w:tcPr>
          <w:p>
            <w:pPr>
              <w:spacing w:line="256" w:lineRule="auto"/>
              <w:jc w:val="center"/>
              <w:rPr>
                <w:sz w:val="14"/>
              </w:rPr>
              <w:ind w:firstLine="0"/>
            </w:pPr>
            <w:r>
              <w:rPr>
                <w:sz w:val="14"/>
              </w:rPr>
              <w:t>(Ф.И.О.)</w:t>
            </w:r>
          </w:p>
        </w:tc>
        <w:tc>
          <w:tcPr>
            <w:tcW w:w="296" w:type="dxa"/>
          </w:tcPr>
          <w:p>
            <w:pPr>
              <w:spacing w:line="256" w:lineRule="auto"/>
              <w:rPr>
                <w:sz w:val="24"/>
              </w:rPr>
              <w:ind w:firstLine="0"/>
            </w:pPr>
          </w:p>
        </w:tc>
      </w:tr>
      <w:tr>
        <w:tc>
          <w:tcPr>
            <w:tcW w:w="2268" w:type="dxa"/>
            <w:hideMark/>
          </w:tcPr>
          <w:p>
            <w:pPr>
              <w:spacing w:line="256" w:lineRule="auto"/>
              <w:rPr>
                <w:sz w:val="24"/>
              </w:rPr>
              <w:ind w:firstLine="0"/>
            </w:pPr>
            <w:r>
              <w:rPr>
                <w:sz w:val="24"/>
              </w:rPr>
              <w:t>РУКОВОДИТЕЛЬ</w:t>
            </w:r>
          </w:p>
        </w:tc>
        <w:tc>
          <w:tcPr>
            <w:tcW w:w="2828" w:type="dxa"/>
            <w:tcBorders>
              <w:top w:val="nil"/>
              <w:left w:val="nil"/>
              <w:bottom w:val="single" w:sz="4" w:space="0" w:color="auto"/>
              <w:right w:val="nil"/>
            </w:tcBorders>
          </w:tcPr>
          <w:p>
            <w:pPr>
              <w:spacing w:line="256" w:lineRule="auto"/>
              <w:rPr>
                <w:sz w:val="24"/>
              </w:rPr>
              <w:ind w:firstLine="0"/>
            </w:pPr>
          </w:p>
        </w:tc>
        <w:tc>
          <w:tcPr>
            <w:tcW w:w="296" w:type="dxa"/>
            <w:hideMark/>
          </w:tcPr>
          <w:p>
            <w:pPr>
              <w:spacing w:line="256" w:lineRule="auto"/>
              <w:rPr>
                <w:sz w:val="24"/>
              </w:rPr>
              <w:ind w:firstLine="0"/>
            </w:pPr>
            <w:r>
              <w:rPr>
                <w:sz w:val="24"/>
              </w:rPr>
              <w:t>(</w:t>
            </w:r>
          </w:p>
        </w:tc>
        <w:tc>
          <w:tcPr>
            <w:tcW w:w="2953" w:type="dxa"/>
            <w:tcBorders>
              <w:top w:val="nil"/>
              <w:left w:val="nil"/>
              <w:bottom w:val="single" w:sz="4" w:space="0" w:color="auto"/>
              <w:right w:val="nil"/>
            </w:tcBorders>
            <w:hideMark/>
          </w:tcPr>
          <w:p>
            <w:pPr>
              <w:spacing w:line="256" w:lineRule="auto"/>
              <w:jc w:val="center"/>
              <w:rPr>
                <w:sz w:val="24"/>
                <w:szCs w:val="24"/>
              </w:rPr>
              <w:ind w:firstLine="0"/>
            </w:pPr>
            <w:r>
              <w:rPr>
                <w:sz w:val="24"/>
                <w:szCs w:val="24"/>
              </w:rPr>
              <w:t xml:space="preserve">Галушин С.Я.</w:t>
            </w:r>
          </w:p>
        </w:tc>
        <w:tc>
          <w:tcPr>
            <w:tcW w:w="296" w:type="dxa"/>
            <w:hideMark/>
          </w:tcPr>
          <w:p>
            <w:pPr>
              <w:spacing w:line="256" w:lineRule="auto"/>
              <w:rPr>
                <w:sz w:val="24"/>
              </w:rPr>
              <w:ind w:firstLine="0"/>
            </w:pPr>
            <w:r>
              <w:rPr>
                <w:sz w:val="24"/>
              </w:rPr>
              <w:t>)</w:t>
            </w:r>
          </w:p>
        </w:tc>
      </w:tr>
      <w:tr>
        <w:tc>
          <w:tcPr>
            <w:tcW w:w="2268" w:type="dxa"/>
          </w:tcPr>
          <w:p>
            <w:pPr>
              <w:spacing w:line="256" w:lineRule="auto"/>
              <w:rPr>
                <w:sz w:val="24"/>
              </w:rPr>
              <w:ind w:firstLine="0"/>
            </w:pPr>
          </w:p>
        </w:tc>
        <w:tc>
          <w:tcPr>
            <w:tcW w:w="2828" w:type="dxa"/>
            <w:tcBorders>
              <w:top w:val="single" w:sz="4" w:space="0" w:color="auto"/>
              <w:left w:val="nil"/>
              <w:bottom w:val="nil"/>
              <w:right w:val="nil"/>
            </w:tcBorders>
            <w:hideMark/>
          </w:tcPr>
          <w:p>
            <w:pPr>
              <w:spacing w:line="256" w:lineRule="auto"/>
              <w:jc w:val="center"/>
              <w:rPr>
                <w:sz w:val="24"/>
              </w:rPr>
              <w:ind w:firstLine="0"/>
            </w:pPr>
            <w:r>
              <w:rPr>
                <w:sz w:val="14"/>
              </w:rPr>
              <w:t>(подпись)</w:t>
            </w:r>
          </w:p>
        </w:tc>
        <w:tc>
          <w:tcPr>
            <w:tcW w:w="296" w:type="dxa"/>
          </w:tcPr>
          <w:p>
            <w:pPr>
              <w:spacing w:line="256" w:lineRule="auto"/>
              <w:rPr>
                <w:sz w:val="24"/>
              </w:rPr>
              <w:ind w:firstLine="0"/>
            </w:pPr>
          </w:p>
        </w:tc>
        <w:tc>
          <w:tcPr>
            <w:tcW w:w="2953" w:type="dxa"/>
            <w:tcBorders>
              <w:top w:val="single" w:sz="4" w:space="0" w:color="auto"/>
              <w:left w:val="nil"/>
              <w:bottom w:val="nil"/>
              <w:right w:val="nil"/>
            </w:tcBorders>
            <w:hideMark/>
          </w:tcPr>
          <w:p>
            <w:pPr>
              <w:spacing w:line="256" w:lineRule="auto"/>
              <w:jc w:val="center"/>
              <w:rPr>
                <w:sz w:val="24"/>
              </w:rPr>
              <w:ind w:firstLine="0"/>
            </w:pPr>
            <w:r>
              <w:rPr>
                <w:sz w:val="14"/>
              </w:rPr>
              <w:t>(Ф.И.О.)</w:t>
            </w:r>
          </w:p>
        </w:tc>
        <w:tc>
          <w:tcPr>
            <w:tcW w:w="296" w:type="dxa"/>
          </w:tcPr>
          <w:p>
            <w:pPr>
              <w:spacing w:line="256" w:lineRule="auto"/>
              <w:rPr>
                <w:sz w:val="24"/>
              </w:rPr>
              <w:ind w:firstLine="0"/>
            </w:pPr>
          </w:p>
        </w:tc>
      </w:tr>
      <w:tr>
        <w:tc>
          <w:tcPr>
            <w:tcW w:w="2268" w:type="dxa"/>
            <w:hideMark/>
          </w:tcPr>
          <w:p>
            <w:pPr>
              <w:spacing w:line="256" w:lineRule="auto"/>
              <w:rPr>
                <w:sz w:val="24"/>
              </w:rPr>
              <w:ind w:firstLine="0"/>
            </w:pPr>
            <w:r>
              <w:rPr>
                <w:sz w:val="24"/>
              </w:rPr>
              <w:t>КОНСУЛЬТАНТ</w:t>
            </w:r>
          </w:p>
        </w:tc>
        <w:tc>
          <w:tcPr>
            <w:tcW w:w="2828" w:type="dxa"/>
            <w:tcBorders>
              <w:top w:val="nil"/>
              <w:left w:val="nil"/>
              <w:bottom w:val="single" w:sz="4" w:space="0" w:color="auto"/>
              <w:right w:val="nil"/>
            </w:tcBorders>
          </w:tcPr>
          <w:p>
            <w:pPr>
              <w:spacing w:line="256" w:lineRule="auto"/>
              <w:rPr>
                <w:sz w:val="24"/>
              </w:rPr>
              <w:ind w:firstLine="0"/>
            </w:pPr>
          </w:p>
        </w:tc>
        <w:tc>
          <w:tcPr>
            <w:tcW w:w="296" w:type="dxa"/>
            <w:hideMark/>
          </w:tcPr>
          <w:p>
            <w:pPr>
              <w:spacing w:line="256" w:lineRule="auto"/>
              <w:rPr>
                <w:sz w:val="24"/>
              </w:rPr>
              <w:ind w:firstLine="0"/>
            </w:pPr>
            <w:r>
              <w:rPr>
                <w:sz w:val="24"/>
              </w:rPr>
              <w:t>(</w:t>
            </w:r>
          </w:p>
        </w:tc>
        <w:tc>
          <w:tcPr>
            <w:tcW w:w="2953" w:type="dxa"/>
            <w:tcBorders>
              <w:top w:val="nil"/>
              <w:left w:val="nil"/>
              <w:bottom w:val="single" w:sz="4" w:space="0" w:color="auto"/>
              <w:right w:val="nil"/>
            </w:tcBorders>
            <w:hideMark/>
          </w:tcPr>
          <w:p>
            <w:pPr>
              <w:spacing w:line="256" w:lineRule="auto"/>
              <w:jc w:val="center"/>
              <w:rPr>
                <w:sz w:val="24"/>
              </w:rPr>
              <w:ind w:firstLine="0"/>
            </w:pPr>
            <w:r>
              <w:rPr>
                <w:sz w:val="24"/>
              </w:rPr>
              <w:t xml:space="preserve">Пирогов А.А.</w:t>
            </w:r>
          </w:p>
        </w:tc>
        <w:tc>
          <w:tcPr>
            <w:tcW w:w="296" w:type="dxa"/>
            <w:hideMark/>
          </w:tcPr>
          <w:p>
            <w:pPr>
              <w:spacing w:line="256" w:lineRule="auto"/>
              <w:rPr>
                <w:sz w:val="24"/>
              </w:rPr>
              <w:ind w:firstLine="0"/>
            </w:pPr>
            <w:r>
              <w:rPr>
                <w:sz w:val="24"/>
              </w:rPr>
              <w:t>)</w:t>
            </w:r>
          </w:p>
        </w:tc>
      </w:tr>
      <w:tr>
        <w:tc>
          <w:tcPr>
            <w:tcW w:w="2268" w:type="dxa"/>
          </w:tcPr>
          <w:p>
            <w:pPr>
              <w:spacing w:line="256" w:lineRule="auto"/>
              <w:rPr>
                <w:sz w:val="24"/>
              </w:rPr>
              <w:ind w:firstLine="0"/>
            </w:pPr>
          </w:p>
        </w:tc>
        <w:tc>
          <w:tcPr>
            <w:tcW w:w="2828" w:type="dxa"/>
            <w:tcBorders>
              <w:top w:val="single" w:sz="4" w:space="0" w:color="auto"/>
              <w:left w:val="nil"/>
              <w:bottom w:val="nil"/>
              <w:right w:val="nil"/>
            </w:tcBorders>
            <w:hideMark/>
          </w:tcPr>
          <w:p>
            <w:pPr>
              <w:spacing w:line="256" w:lineRule="auto"/>
              <w:jc w:val="center"/>
              <w:rPr>
                <w:sz w:val="24"/>
              </w:rPr>
              <w:ind w:firstLine="0"/>
            </w:pPr>
            <w:r>
              <w:rPr>
                <w:sz w:val="14"/>
              </w:rPr>
              <w:t>(подпись)</w:t>
            </w:r>
          </w:p>
        </w:tc>
        <w:tc>
          <w:tcPr>
            <w:tcW w:w="296" w:type="dxa"/>
          </w:tcPr>
          <w:p>
            <w:pPr>
              <w:spacing w:line="256" w:lineRule="auto"/>
              <w:rPr>
                <w:sz w:val="24"/>
              </w:rPr>
              <w:ind w:firstLine="0"/>
            </w:pPr>
          </w:p>
        </w:tc>
        <w:tc>
          <w:tcPr>
            <w:tcW w:w="2953" w:type="dxa"/>
            <w:tcBorders>
              <w:top w:val="single" w:sz="4" w:space="0" w:color="auto"/>
              <w:left w:val="nil"/>
              <w:bottom w:val="nil"/>
              <w:right w:val="nil"/>
            </w:tcBorders>
            <w:hideMark/>
          </w:tcPr>
          <w:p>
            <w:pPr>
              <w:spacing w:line="256" w:lineRule="auto"/>
              <w:jc w:val="center"/>
              <w:rPr>
                <w:sz w:val="24"/>
              </w:rPr>
              <w:ind w:firstLine="0"/>
            </w:pPr>
            <w:r>
              <w:rPr>
                <w:sz w:val="14"/>
              </w:rPr>
              <w:t>(Ф.И.О.)</w:t>
            </w:r>
          </w:p>
        </w:tc>
        <w:tc>
          <w:tcPr>
            <w:tcW w:w="296" w:type="dxa"/>
          </w:tcPr>
          <w:p>
            <w:pPr>
              <w:spacing w:line="256" w:lineRule="auto"/>
              <w:rPr>
                <w:sz w:val="24"/>
              </w:rPr>
              <w:ind w:firstLine="0"/>
            </w:pPr>
          </w:p>
        </w:tc>
      </w:tr>
    </w:tbl>
    <w:p>
      <w:pPr>
        <w:ind w:firstLine="0"/>
        <w:rPr>
          <w:b/>
          <w:sz w:val="22"/>
          <w:lang w:val="en-US"/>
        </w:rPr>
      </w:pPr>
    </w:p>
    <w:p>
      <w:pPr>
        <w:ind w:firstLine="0"/>
        <w:jc w:val="center"/>
        <w:rPr>
          <w:lang w:val="en-US"/>
        </w:rPr>
      </w:pPr>
      <w:r>
        <w:rPr>
          <w:lang w:val="en-US"/>
        </w:rPr>
        <w:t xml:space="preserve">2026 </w:t>
      </w:r>
      <w:r>
        <w:t>г</w:t>
      </w:r>
      <w:r>
        <w:rPr>
          <w:lang w:val="en-US"/>
        </w:rPr>
        <w:t>.</w:t>
      </w:r>
    </w:p>
    <w:bookmarkStart w:id="17" w:name="реферат"/>
    <w:p>
      <w:pPr>
        <w:pStyle w:val="a"/>
        <w:pageBreakBefore/>
        <w:keepNext/>
        <w:spacing w:before="240" w:line="360" w:lineRule="auto"/>
        <w:jc w:val="center"/>
        <w:ind w:firstLine="0"/>
      </w:pPr>
      <w:r>
        <w:rPr>
          <w:b/>
        </w:rPr>
        <w:t xml:space="preserve">РЕФЕРАТ</w:t>
      </w:r>
    </w:p>
    <w:p>
      <w:pPr>
        <w:pStyle w:val="FirstParagraph"/>
      </w:pPr>
      <w:r>
        <w:t xml:space="preserve">Выпускная квалификационная работа посвящена разработке серверной части защищённой микросервисной веб-платформы для управления лабораторным комплексом обучения информационной безопасности. Работа ориентирована на создание надёжного серверного контура, поддерживающего управление курсами, лабораторными работами, правами доступа и жизненным циклом изолированных вычислительных окружений обучающихся.</w:t>
      </w:r>
    </w:p>
    <w:p>
      <w:pPr>
        <w:pStyle w:val="BodyText"/>
      </w:pPr>
      <w:r>
        <w:t xml:space="preserve">Ключевые слова:</w:t>
      </w:r>
      <w:r>
        <w:t xml:space="preserve"> </w:t>
      </w:r>
      <w:r>
        <w:t xml:space="preserve">микросервисная архитектура, информационная безопасность, лабораторный комплекс, серверная часть, программный интерфейс, RBAC, ABAC, изолированные окружения, контейнеризация, автоматизация развёртывания.</w:t>
      </w:r>
    </w:p>
    <w:bookmarkEnd w:id="17"/>
    <w:sdt>
      <w:sdtPr>
        <w:docPartObj>
          <w:docPartGallery w:val="Table of Contents"/>
          <w:docPartUnique/>
        </w:docPartObj>
      </w:sdtPr>
      <w:sdtContent>
        <w:p>
          <w:pPr>
            <w:pStyle w:val="af8"/>
            <w:jc w:val="center"/>
            <w:ind w:firstLine="0"/>
          </w:pPr>
          <w:r>
            <w:rPr>
              <w:b/>
            </w:rPr>
            <w:t xml:space="preserve">СОДЕРЖАНИЕ</w:t>
          </w:r>
        </w:p>
        <w:p>
          <w:r>
            <w:fldChar w:fldCharType="begin" w:dirty="true"/>
            <w:instrText xml:space="preserve">TOC \o "1-3" \h \z \u</w:instrText>
            <w:fldChar w:fldCharType="separate"/>
            <w:fldChar w:fldCharType="end"/>
          </w:r>
        </w:p>
      </w:sdtContent>
    </w:sdt>
    <w:bookmarkStart w:id="18" w:name="перечень-сокращений"/>
    <w:p>
      <w:pPr>
        <w:pStyle w:val="a"/>
        <w:pageBreakBefore/>
        <w:keepNext/>
        <w:spacing w:before="240" w:line="360" w:lineRule="auto"/>
        <w:jc w:val="center"/>
        <w:ind w:firstLine="0"/>
      </w:pPr>
      <w:r>
        <w:rPr>
          <w:b/>
        </w:rPr>
        <w:t xml:space="preserve">ПЕРЕЧЕНЬ СОКРАЩЕНИЙ</w:t>
      </w:r>
    </w:p>
    <w:p>
      <w:pPr>
        <w:pStyle w:val="Compact"/>
        <w:numPr>
          <w:ilvl w:val="0"/>
          <w:numId w:val="1001"/>
        </w:numPr>
      </w:pPr>
      <w:r>
        <w:rPr>
          <w:rStyle w:val="VerbatimChar"/>
        </w:rPr>
        <w:t xml:space="preserve">ABAC</w:t>
      </w:r>
      <w:r>
        <w:t xml:space="preserve"> </w:t>
      </w:r>
      <w:r>
        <w:t xml:space="preserve">— Attribute-Based Access Control (управление доступом на основе атрибутов)</w:t>
      </w:r>
    </w:p>
    <w:p>
      <w:pPr>
        <w:pStyle w:val="Compact"/>
        <w:numPr>
          <w:ilvl w:val="0"/>
          <w:numId w:val="1001"/>
        </w:numPr>
      </w:pPr>
      <w:r>
        <w:rPr>
          <w:rStyle w:val="VerbatimChar"/>
        </w:rPr>
        <w:t xml:space="preserve">API</w:t>
      </w:r>
      <w:r>
        <w:t xml:space="preserve"> </w:t>
      </w:r>
      <w:r>
        <w:t xml:space="preserve">— Application Programming Interface (программный интерфейс приложения)</w:t>
      </w:r>
    </w:p>
    <w:p>
      <w:pPr>
        <w:pStyle w:val="Compact"/>
        <w:numPr>
          <w:ilvl w:val="0"/>
          <w:numId w:val="1001"/>
        </w:numPr>
      </w:pPr>
      <w:r>
        <w:rPr>
          <w:rStyle w:val="VerbatimChar"/>
        </w:rPr>
        <w:t xml:space="preserve">CI/CD</w:t>
      </w:r>
      <w:r>
        <w:t xml:space="preserve"> </w:t>
      </w:r>
      <w:r>
        <w:t xml:space="preserve">— Continuous Integration / Continuous Delivery (непрерывная интеграция и поставка)</w:t>
      </w:r>
    </w:p>
    <w:p>
      <w:pPr>
        <w:pStyle w:val="Compact"/>
        <w:numPr>
          <w:ilvl w:val="0"/>
          <w:numId w:val="1001"/>
        </w:numPr>
      </w:pPr>
      <w:r>
        <w:rPr>
          <w:rStyle w:val="VerbatimChar"/>
        </w:rPr>
        <w:t xml:space="preserve">IAM</w:t>
      </w:r>
      <w:r>
        <w:t xml:space="preserve"> </w:t>
      </w:r>
      <w:r>
        <w:t xml:space="preserve">— Identity and Access Management (управление идентификацией и доступом)</w:t>
      </w:r>
    </w:p>
    <w:p>
      <w:pPr>
        <w:pStyle w:val="Compact"/>
        <w:numPr>
          <w:ilvl w:val="0"/>
          <w:numId w:val="1001"/>
        </w:numPr>
      </w:pPr>
      <w:r>
        <w:rPr>
          <w:rStyle w:val="VerbatimChar"/>
        </w:rPr>
        <w:t xml:space="preserve">IDS/IPS</w:t>
      </w:r>
      <w:r>
        <w:t xml:space="preserve"> </w:t>
      </w:r>
      <w:r>
        <w:t xml:space="preserve">— Intrusion Detection / Prevention System (система обнаружения и предотвращения вторжений)</w:t>
      </w:r>
    </w:p>
    <w:p>
      <w:pPr>
        <w:pStyle w:val="Compact"/>
        <w:numPr>
          <w:ilvl w:val="0"/>
          <w:numId w:val="1001"/>
        </w:numPr>
      </w:pPr>
      <w:r>
        <w:rPr>
          <w:rStyle w:val="VerbatimChar"/>
        </w:rPr>
        <w:t xml:space="preserve">JWT</w:t>
      </w:r>
      <w:r>
        <w:t xml:space="preserve"> </w:t>
      </w:r>
      <w:r>
        <w:t xml:space="preserve">— JSON Web Token</w:t>
      </w:r>
    </w:p>
    <w:p>
      <w:pPr>
        <w:pStyle w:val="Compact"/>
        <w:numPr>
          <w:ilvl w:val="0"/>
          <w:numId w:val="1001"/>
        </w:numPr>
      </w:pPr>
      <w:r>
        <w:rPr>
          <w:rStyle w:val="VerbatimChar"/>
        </w:rPr>
        <w:t xml:space="preserve">OIDC</w:t>
      </w:r>
      <w:r>
        <w:t xml:space="preserve"> </w:t>
      </w:r>
      <w:r>
        <w:t xml:space="preserve">— OpenID Connect</w:t>
      </w:r>
    </w:p>
    <w:p>
      <w:pPr>
        <w:pStyle w:val="Compact"/>
        <w:numPr>
          <w:ilvl w:val="0"/>
          <w:numId w:val="1001"/>
        </w:numPr>
      </w:pPr>
      <w:r>
        <w:rPr>
          <w:rStyle w:val="VerbatimChar"/>
        </w:rPr>
        <w:t xml:space="preserve">PDP</w:t>
      </w:r>
      <w:r>
        <w:t xml:space="preserve"> </w:t>
      </w:r>
      <w:r>
        <w:t xml:space="preserve">— Policy Decision Point (точка принятия решения о доступе)</w:t>
      </w:r>
    </w:p>
    <w:p>
      <w:pPr>
        <w:pStyle w:val="Compact"/>
        <w:numPr>
          <w:ilvl w:val="0"/>
          <w:numId w:val="1001"/>
        </w:numPr>
      </w:pPr>
      <w:r>
        <w:rPr>
          <w:rStyle w:val="VerbatimChar"/>
        </w:rPr>
        <w:t xml:space="preserve">PEP</w:t>
      </w:r>
      <w:r>
        <w:t xml:space="preserve"> </w:t>
      </w:r>
      <w:r>
        <w:t xml:space="preserve">— Policy Enforcement Point (точка исполнения политики доступа)</w:t>
      </w:r>
    </w:p>
    <w:p>
      <w:pPr>
        <w:pStyle w:val="Compact"/>
        <w:numPr>
          <w:ilvl w:val="0"/>
          <w:numId w:val="1001"/>
        </w:numPr>
      </w:pPr>
      <w:r>
        <w:rPr>
          <w:rStyle w:val="VerbatimChar"/>
        </w:rPr>
        <w:t xml:space="preserve">PIP</w:t>
      </w:r>
      <w:r>
        <w:t xml:space="preserve"> </w:t>
      </w:r>
      <w:r>
        <w:t xml:space="preserve">— Policy Information Point (точка предоставления информации для политики)</w:t>
      </w:r>
    </w:p>
    <w:p>
      <w:pPr>
        <w:pStyle w:val="Compact"/>
        <w:numPr>
          <w:ilvl w:val="0"/>
          <w:numId w:val="1001"/>
        </w:numPr>
      </w:pPr>
      <w:r>
        <w:rPr>
          <w:rStyle w:val="VerbatimChar"/>
        </w:rPr>
        <w:t xml:space="preserve">RBAC</w:t>
      </w:r>
      <w:r>
        <w:t xml:space="preserve"> </w:t>
      </w:r>
      <w:r>
        <w:t xml:space="preserve">— Role-Based Access Control (управление доступом на основе ролей)</w:t>
      </w:r>
    </w:p>
    <w:p>
      <w:pPr>
        <w:pStyle w:val="Compact"/>
        <w:numPr>
          <w:ilvl w:val="0"/>
          <w:numId w:val="1001"/>
        </w:numPr>
      </w:pPr>
      <w:r>
        <w:rPr>
          <w:rStyle w:val="VerbatimChar"/>
        </w:rPr>
        <w:t xml:space="preserve">REST</w:t>
      </w:r>
      <w:r>
        <w:t xml:space="preserve"> </w:t>
      </w:r>
      <w:r>
        <w:t xml:space="preserve">— Representational State Transfer</w:t>
      </w:r>
    </w:p>
    <w:p>
      <w:pPr>
        <w:pStyle w:val="Compact"/>
        <w:numPr>
          <w:ilvl w:val="0"/>
          <w:numId w:val="1001"/>
        </w:numPr>
      </w:pPr>
      <w:r>
        <w:rPr>
          <w:rStyle w:val="VerbatimChar"/>
        </w:rPr>
        <w:t xml:space="preserve">TCB</w:t>
      </w:r>
      <w:r>
        <w:t xml:space="preserve"> </w:t>
      </w:r>
      <w:r>
        <w:t xml:space="preserve">— Trusted Computing Base (доверенная вычислительная база)</w:t>
      </w:r>
    </w:p>
    <w:p>
      <w:pPr>
        <w:pStyle w:val="Compact"/>
        <w:numPr>
          <w:ilvl w:val="0"/>
          <w:numId w:val="1001"/>
        </w:numPr>
      </w:pPr>
      <w:r>
        <w:rPr>
          <w:rStyle w:val="VerbatimChar"/>
        </w:rPr>
        <w:t xml:space="preserve">TCO</w:t>
      </w:r>
      <w:r>
        <w:t xml:space="preserve"> </w:t>
      </w:r>
      <w:r>
        <w:t xml:space="preserve">— Total Cost of Ownership (совокупная стоимость владения)</w:t>
      </w:r>
    </w:p>
    <w:p>
      <w:pPr>
        <w:pStyle w:val="Compact"/>
        <w:numPr>
          <w:ilvl w:val="0"/>
          <w:numId w:val="1001"/>
        </w:numPr>
      </w:pPr>
      <w:r>
        <w:rPr>
          <w:rStyle w:val="VerbatimChar"/>
        </w:rPr>
        <w:t xml:space="preserve">TLS</w:t>
      </w:r>
      <w:r>
        <w:t xml:space="preserve"> </w:t>
      </w:r>
      <w:r>
        <w:t xml:space="preserve">— Transport Layer Security (протокол защиты транспортного уровня)</w:t>
      </w:r>
    </w:p>
    <w:p>
      <w:pPr>
        <w:pStyle w:val="Compact"/>
        <w:numPr>
          <w:ilvl w:val="0"/>
          <w:numId w:val="1001"/>
        </w:numPr>
      </w:pPr>
      <w:r>
        <w:rPr>
          <w:rStyle w:val="VerbatimChar"/>
        </w:rPr>
        <w:t xml:space="preserve">XSS</w:t>
      </w:r>
      <w:r>
        <w:t xml:space="preserve"> </w:t>
      </w:r>
      <w:r>
        <w:t xml:space="preserve">— Cross-Site Scripting (межсайтовый скриптинг)</w:t>
      </w:r>
    </w:p>
    <w:p>
      <w:pPr>
        <w:pStyle w:val="Compact"/>
        <w:numPr>
          <w:ilvl w:val="0"/>
          <w:numId w:val="1001"/>
        </w:numPr>
      </w:pPr>
      <w:r>
        <w:rPr>
          <w:rStyle w:val="VerbatimChar"/>
        </w:rPr>
        <w:t xml:space="preserve">БДУ</w:t>
      </w:r>
      <w:r>
        <w:t xml:space="preserve"> </w:t>
      </w:r>
      <w:r>
        <w:t xml:space="preserve">— банк данных угроз безопасности информации (ФСТЭК России)</w:t>
      </w:r>
    </w:p>
    <w:p>
      <w:pPr>
        <w:pStyle w:val="Compact"/>
        <w:numPr>
          <w:ilvl w:val="0"/>
          <w:numId w:val="1001"/>
        </w:numPr>
      </w:pPr>
      <w:r>
        <w:rPr>
          <w:rStyle w:val="VerbatimChar"/>
        </w:rPr>
        <w:t xml:space="preserve">ВМ</w:t>
      </w:r>
      <w:r>
        <w:t xml:space="preserve"> </w:t>
      </w:r>
      <w:r>
        <w:t xml:space="preserve">— виртуальная машина</w:t>
      </w:r>
    </w:p>
    <w:p>
      <w:pPr>
        <w:pStyle w:val="Compact"/>
        <w:numPr>
          <w:ilvl w:val="0"/>
          <w:numId w:val="1001"/>
        </w:numPr>
      </w:pPr>
      <w:r>
        <w:rPr>
          <w:rStyle w:val="VerbatimChar"/>
        </w:rPr>
        <w:t xml:space="preserve">ИБ</w:t>
      </w:r>
      <w:r>
        <w:t xml:space="preserve"> </w:t>
      </w:r>
      <w:r>
        <w:t xml:space="preserve">— информационная безопасность</w:t>
      </w:r>
    </w:p>
    <w:p>
      <w:pPr>
        <w:pStyle w:val="Compact"/>
        <w:numPr>
          <w:ilvl w:val="0"/>
          <w:numId w:val="1001"/>
        </w:numPr>
      </w:pPr>
      <w:r>
        <w:rPr>
          <w:rStyle w:val="VerbatimChar"/>
        </w:rPr>
        <w:t xml:space="preserve">ЛК</w:t>
      </w:r>
      <w:r>
        <w:t xml:space="preserve"> </w:t>
      </w:r>
      <w:r>
        <w:t xml:space="preserve">— лабораторный комплекс</w:t>
      </w:r>
    </w:p>
    <w:p>
      <w:pPr>
        <w:pStyle w:val="Compact"/>
        <w:numPr>
          <w:ilvl w:val="0"/>
          <w:numId w:val="1001"/>
        </w:numPr>
      </w:pPr>
      <w:r>
        <w:rPr>
          <w:rStyle w:val="VerbatimChar"/>
        </w:rPr>
        <w:t xml:space="preserve">ЛР</w:t>
      </w:r>
      <w:r>
        <w:t xml:space="preserve"> </w:t>
      </w:r>
      <w:r>
        <w:t xml:space="preserve">— лабораторная работа</w:t>
      </w:r>
    </w:p>
    <w:p>
      <w:pPr>
        <w:pStyle w:val="Compact"/>
        <w:numPr>
          <w:ilvl w:val="0"/>
          <w:numId w:val="1001"/>
        </w:numPr>
      </w:pPr>
      <w:r>
        <w:rPr>
          <w:rStyle w:val="VerbatimChar"/>
        </w:rPr>
        <w:t xml:space="preserve">НФТ</w:t>
      </w:r>
      <w:r>
        <w:t xml:space="preserve"> </w:t>
      </w:r>
      <w:r>
        <w:t xml:space="preserve">— нефункциональное требование</w:t>
      </w:r>
    </w:p>
    <w:p>
      <w:pPr>
        <w:pStyle w:val="Compact"/>
        <w:numPr>
          <w:ilvl w:val="0"/>
          <w:numId w:val="1001"/>
        </w:numPr>
      </w:pPr>
      <w:r>
        <w:rPr>
          <w:rStyle w:val="VerbatimChar"/>
        </w:rPr>
        <w:t xml:space="preserve">ПАК</w:t>
      </w:r>
      <w:r>
        <w:t xml:space="preserve"> </w:t>
      </w:r>
      <w:r>
        <w:t xml:space="preserve">— программно-аппаратный комплекс</w:t>
      </w:r>
    </w:p>
    <w:p>
      <w:pPr>
        <w:pStyle w:val="Compact"/>
        <w:numPr>
          <w:ilvl w:val="0"/>
          <w:numId w:val="1001"/>
        </w:numPr>
      </w:pPr>
      <w:r>
        <w:rPr>
          <w:rStyle w:val="VerbatimChar"/>
        </w:rPr>
        <w:t xml:space="preserve">ПО</w:t>
      </w:r>
      <w:r>
        <w:t xml:space="preserve"> </w:t>
      </w:r>
      <w:r>
        <w:t xml:space="preserve">— программное обеспечение</w:t>
      </w:r>
    </w:p>
    <w:p>
      <w:pPr>
        <w:pStyle w:val="Compact"/>
        <w:numPr>
          <w:ilvl w:val="0"/>
          <w:numId w:val="1001"/>
        </w:numPr>
      </w:pPr>
      <w:r>
        <w:rPr>
          <w:rStyle w:val="VerbatimChar"/>
        </w:rPr>
        <w:t xml:space="preserve">СУБД</w:t>
      </w:r>
      <w:r>
        <w:t xml:space="preserve"> </w:t>
      </w:r>
      <w:r>
        <w:t xml:space="preserve">— система управления базами данных</w:t>
      </w:r>
    </w:p>
    <w:p>
      <w:pPr>
        <w:pStyle w:val="Compact"/>
        <w:numPr>
          <w:ilvl w:val="0"/>
          <w:numId w:val="1001"/>
        </w:numPr>
      </w:pPr>
      <w:r>
        <w:rPr>
          <w:rStyle w:val="VerbatimChar"/>
        </w:rPr>
        <w:t xml:space="preserve">ФСТЭК</w:t>
      </w:r>
      <w:r>
        <w:t xml:space="preserve"> </w:t>
      </w:r>
      <w:r>
        <w:t xml:space="preserve">— Федеральная служба по техническому и экспортному контролю</w:t>
      </w:r>
    </w:p>
    <w:p>
      <w:pPr>
        <w:pStyle w:val="Compact"/>
        <w:numPr>
          <w:ilvl w:val="0"/>
          <w:numId w:val="1001"/>
        </w:numPr>
      </w:pPr>
      <w:r>
        <w:rPr>
          <w:rStyle w:val="VerbatimChar"/>
        </w:rPr>
        <w:t xml:space="preserve">ФТ</w:t>
      </w:r>
      <w:r>
        <w:t xml:space="preserve"> </w:t>
      </w:r>
      <w:r>
        <w:t xml:space="preserve">— функциональное требование</w:t>
      </w:r>
    </w:p>
    <w:bookmarkEnd w:id="18"/>
    <w:bookmarkStart w:id="19" w:name="введение"/>
    <w:p>
      <w:pPr>
        <w:pStyle w:val="1"/>
        <w:jc w:val="center"/>
        <w:ind w:firstLine="0"/>
      </w:pPr>
      <w:r>
        <w:t xml:space="preserve">ВВЕДЕНИЕ</w:t>
      </w:r>
    </w:p>
    <w:p>
      <w:pPr>
        <w:pStyle w:val="FirstParagraph"/>
      </w:pPr>
      <w:r>
        <w:t xml:space="preserve">Рост числа киберугроз и усложнение цифровых систем повышают требования к подготовке специалистов по информационной безопасности, для которой недостаточно теоретического материала — необходима регулярная практика в изолированной среде, приближенной к реальным условиям эксплуатации защищённых информационных систем. Традиционная организация таких занятий связана с высокой стоимостью оборудования, сложностью сопровождения учебных стендов и ограниченной масштабируемостью, что особенно критично при выделении каждому обучающемуся индивидуального изолированного окружения.</w:t>
      </w:r>
    </w:p>
    <w:p>
      <w:pPr>
        <w:pStyle w:val="BodyText"/>
      </w:pPr>
      <w:r>
        <w:t xml:space="preserve">Актуальность работы определяется потребностью образовательных организаций в защищённой серверной части веб-платформы, которая централизованно управляет курсами, лабораторными работами и доступом пользователей и обеспечивает автоматическое создание изолированных вычислительных окружений.</w:t>
      </w:r>
    </w:p>
    <w:p>
      <w:pPr>
        <w:pStyle w:val="BodyText"/>
      </w:pPr>
      <w:r>
        <w:t xml:space="preserve">Целью работы является разработка серверной части защищённой микросервисной веб-платформы для управления лабораторным комплексом обучения информационной безопасности.</w:t>
      </w:r>
    </w:p>
    <w:p>
      <w:pPr>
        <w:pStyle w:val="BodyText"/>
      </w:pPr>
      <w:r>
        <w:t xml:space="preserve">Для достижения поставленной цели требуется решить следующие задачи:</w:t>
      </w:r>
    </w:p>
    <w:p>
      <w:pPr>
        <w:pStyle w:val="Compact"/>
        <w:numPr>
          <w:ilvl w:val="0"/>
          <w:numId w:val="1002"/>
        </w:numPr>
      </w:pPr>
      <w:r>
        <w:t xml:space="preserve">проанализировать особенности организации практического обучения информационной безопасности и ограничения традиционных подходов к проведению лабораторных работ;</w:t>
      </w:r>
    </w:p>
    <w:p>
      <w:pPr>
        <w:pStyle w:val="Compact"/>
        <w:numPr>
          <w:ilvl w:val="0"/>
          <w:numId w:val="1002"/>
        </w:numPr>
      </w:pPr>
      <w:r>
        <w:t xml:space="preserve">исследовать архитектурные и защитные подходы к построению серверной части образовательной платформы, а также теоретические модели разграничения доступа;</w:t>
      </w:r>
    </w:p>
    <w:p>
      <w:pPr>
        <w:pStyle w:val="Compact"/>
        <w:numPr>
          <w:ilvl w:val="0"/>
          <w:numId w:val="1002"/>
        </w:numPr>
      </w:pPr>
      <w:r>
        <w:t xml:space="preserve">сформулировать требования к серверной части платформы на основе нормативной базы и модели угроз;</w:t>
      </w:r>
    </w:p>
    <w:p>
      <w:pPr>
        <w:pStyle w:val="Compact"/>
        <w:numPr>
          <w:ilvl w:val="0"/>
          <w:numId w:val="1002"/>
        </w:numPr>
      </w:pPr>
      <w:r>
        <w:t xml:space="preserve">спроектировать архитектуру серверной части и программный интерфейс взаимодействия с клиентской частью и инфраструктурным контуром;</w:t>
      </w:r>
    </w:p>
    <w:p>
      <w:pPr>
        <w:pStyle w:val="Compact"/>
        <w:numPr>
          <w:ilvl w:val="0"/>
          <w:numId w:val="1002"/>
        </w:numPr>
      </w:pPr>
      <w:r>
        <w:t xml:space="preserve">разработать механизмы разграничения доступа, сочетающие ролевую и атрибутную модели (RBAC и ABAC);</w:t>
      </w:r>
    </w:p>
    <w:p>
      <w:pPr>
        <w:pStyle w:val="Compact"/>
        <w:numPr>
          <w:ilvl w:val="0"/>
          <w:numId w:val="1002"/>
        </w:numPr>
      </w:pPr>
      <w:r>
        <w:t xml:space="preserve">автоматизировать процесс управления курсами, лабораторными работами и изолированными средами.</w:t>
      </w:r>
    </w:p>
    <w:bookmarkEnd w:id="19"/>
    <w:bookmarkStart w:id="26" w:name="X1d85a9a240c467287ec413035d89761f6c99799"/>
    <w:p>
      <w:pPr>
        <w:pStyle w:val="1"/>
        <w:jc w:val="center"/>
        <w:ind w:firstLine="0"/>
      </w:pPr>
      <w:r>
        <w:t xml:space="preserve">1. АНАЛИЗ И ТЕОРЕТИЧЕСКИЕ ОСНОВЫ ПОСТРОЕНИЯ ЗАЩИЩЁННОЙ СЕРВЕРНОЙ ЧАСТИ</w:t>
      </w:r>
    </w:p>
    <w:bookmarkStart w:id="20" w:name="Xc99a80604b296c049acf26862e3b2ac63418208"/>
    <w:p>
      <w:pPr>
        <w:pStyle w:val="2"/>
      </w:pPr>
      <w:r>
        <w:t xml:space="preserve">1.1. Роль лабораторного комплекса в подготовке специалистов по информационной безопасности</w:t>
      </w:r>
    </w:p>
    <w:p>
      <w:pPr>
        <w:pStyle w:val="FirstParagraph"/>
      </w:pPr>
      <w:r>
        <w:t xml:space="preserve">Практическая подготовка специалистов в области информационной безопасности (ИБ) представляет собой многогранный процесс, выходящий за рамки традиционного теоретического обучения. В современных условиях стремительного роста киберугроз, усложнения архитектур информационных систем и появления новых векторов атак теоретических знаний недостаточно для формирования устойчивых профессиональных компетенций. Обучающийся должен не просто знать принципы работы протоколов или механизмов защиты, но и обладать практическими навыками их конфигурирования, аудита и оперативного реагирования на инциденты.</w:t>
      </w:r>
    </w:p>
    <w:p>
      <w:pPr>
        <w:pStyle w:val="BodyText"/>
      </w:pPr>
      <w:r>
        <w:t xml:space="preserve">Лабораторный комплекс в контексте обучения ИБ выполняет роль «полигона» — контролируемой среды, максимально приближенной к условиям реальной эксплуатации ИТ-инфраструктуры. В такой среде студенты могут исследовать поведение уязвимых компонентов, моделировать действия злоумышленников (тестирование на проникновение), настраивать средства контроля доступа (межсетевые экраны, системы обнаружения и предотвращения вторжений — IDS/IPS), анализировать события безопасности в журналах регистрации и проверять последствия собственных действий без риска нанесения ущерба реальным производственным системам.</w:t>
      </w:r>
    </w:p>
    <w:p>
      <w:pPr>
        <w:pStyle w:val="BodyText"/>
      </w:pPr>
      <w:r>
        <w:t xml:space="preserve">Для эффективного функционирования такого комплекса критически важны следующие свойства:</w:t>
      </w:r>
    </w:p>
    <w:p>
      <w:pPr>
        <w:pStyle w:val="Compact"/>
        <w:numPr>
          <w:ilvl w:val="0"/>
          <w:numId w:val="1003"/>
        </w:numPr>
      </w:pPr>
      <w:r>
        <w:rPr>
          <w:b/>
          <w:bCs/>
        </w:rPr>
        <w:t xml:space="preserve">Воспроизводимость:</w:t>
      </w:r>
      <w:r>
        <w:t xml:space="preserve"> </w:t>
      </w:r>
      <w:r>
        <w:t xml:space="preserve">способность системы гарантировать идентичное начальное состояние лабораторной среды для каждого нового запуска. Это исключает влияние действий предыдущих пользователей на текущий учебный процесс.</w:t>
      </w:r>
    </w:p>
    <w:p>
      <w:pPr>
        <w:pStyle w:val="Compact"/>
        <w:numPr>
          <w:ilvl w:val="0"/>
          <w:numId w:val="1003"/>
        </w:numPr>
      </w:pPr>
      <w:r>
        <w:rPr>
          <w:b/>
          <w:bCs/>
        </w:rPr>
        <w:t xml:space="preserve">Конструктивная изоляция:</w:t>
      </w:r>
      <w:r>
        <w:t xml:space="preserve"> </w:t>
      </w:r>
      <w:r>
        <w:t xml:space="preserve">обеспечение жёстких границ между вычислительными окружениями разных обучающихся. В учебном процессе могут использоваться потенциально опасные инструменты или вредоносное ПО, активность которых должна быть строго ограничена рамками изолированной среды («песочницы») — выделенного окружения, в котором запуск непроверенного кода не оказывает влияния на другие компоненты системы.</w:t>
      </w:r>
    </w:p>
    <w:p>
      <w:pPr>
        <w:pStyle w:val="Compact"/>
        <w:numPr>
          <w:ilvl w:val="0"/>
          <w:numId w:val="1003"/>
        </w:numPr>
      </w:pPr>
      <w:r>
        <w:rPr>
          <w:b/>
          <w:bCs/>
        </w:rPr>
        <w:t xml:space="preserve">Управляемость:</w:t>
      </w:r>
      <w:r>
        <w:t xml:space="preserve"> </w:t>
      </w:r>
      <w:r>
        <w:t xml:space="preserve">возможность централизованного контроля за жизненным циклом ресурсов, автоматического распределения прав и мониторинга прогресса выполнения заданий.</w:t>
      </w:r>
    </w:p>
    <w:p>
      <w:pPr>
        <w:pStyle w:val="FirstParagraph"/>
      </w:pPr>
      <w:r>
        <w:t xml:space="preserve">Подобные задачи решаются в ряде учебных киберполигонов. Так, платформа KYPO Cyber Range предоставляет изолированные виртуальные сети для отработки сценариев атак и защиты [12], а инструментарий CyRIS автоматизирует создание учебных окружений по их описанию [13]; эффективность практико-ориентированного обучения ИБ подтверждается и распространённым форматом соревнований Capture the Flag [14]. Однако большинство таких решений ориентированы на облачное использование и не предполагают автономного развёртывания внутри образовательной организации с сохранением контроля над данными, что и определяет потребность в собственной платформе.</w:t>
      </w:r>
    </w:p>
    <w:bookmarkEnd w:id="20"/>
    <w:bookmarkStart w:id="21" w:name="X6aafec3e8f4cb9d74e2cc802e9414facab35018"/>
    <w:p>
      <w:pPr>
        <w:pStyle w:val="2"/>
      </w:pPr>
      <w:r>
        <w:t xml:space="preserve">1.2. Ограничения традиционных подходов к организации лабораторных работ</w:t>
      </w:r>
    </w:p>
    <w:p>
      <w:pPr>
        <w:pStyle w:val="FirstParagraph"/>
      </w:pPr>
      <w:r>
        <w:t xml:space="preserve">Исторически сложилось несколько подходов к организации практических занятий, каждый из которых обладает существенными недостатками в контексте масштабируемости и безопасности.</w:t>
      </w:r>
    </w:p>
    <w:p>
      <w:pPr>
        <w:pStyle w:val="Compact"/>
        <w:numPr>
          <w:ilvl w:val="0"/>
          <w:numId w:val="1004"/>
        </w:numPr>
      </w:pPr>
      <w:r>
        <w:rPr>
          <w:b/>
          <w:bCs/>
        </w:rPr>
        <w:t xml:space="preserve">Использование физических стендов.</w:t>
      </w:r>
      <w:r>
        <w:t xml:space="preserve"> </w:t>
      </w:r>
      <w:r>
        <w:t xml:space="preserve">Подход предполагает наличие выделенного серверного и сетевого оборудования (коммутаторы, маршрутизаторы, специализированные программно-аппаратные комплексы, ПАК), к которому студенты получают физический или удалённый доступ. Основные недостатки:</w:t>
      </w:r>
    </w:p>
    <w:p>
      <w:pPr>
        <w:pStyle w:val="Compact"/>
        <w:numPr>
          <w:ilvl w:val="1"/>
          <w:numId w:val="1005"/>
        </w:numPr>
      </w:pPr>
      <w:r>
        <w:t xml:space="preserve">высокая совокупная стоимость владения (Total Cost of Ownership, TCO) и амортизации оборудования;</w:t>
      </w:r>
    </w:p>
    <w:p>
      <w:pPr>
        <w:pStyle w:val="Compact"/>
        <w:numPr>
          <w:ilvl w:val="1"/>
          <w:numId w:val="1005"/>
        </w:numPr>
      </w:pPr>
      <w:r>
        <w:t xml:space="preserve">сложность восстановления исходного состояния (откат конфигураций на реальном оборудовании занимает много времени);</w:t>
      </w:r>
    </w:p>
    <w:p>
      <w:pPr>
        <w:pStyle w:val="Compact"/>
        <w:numPr>
          <w:ilvl w:val="1"/>
          <w:numId w:val="1005"/>
        </w:numPr>
      </w:pPr>
      <w:r>
        <w:t xml:space="preserve">ограниченная пропускная способность (количество стендов жёстко привязано к количеству физических устройств).</w:t>
      </w:r>
    </w:p>
    <w:p>
      <w:pPr>
        <w:pStyle w:val="Compact"/>
        <w:numPr>
          <w:ilvl w:val="0"/>
          <w:numId w:val="1004"/>
        </w:numPr>
      </w:pPr>
      <w:r>
        <w:rPr>
          <w:b/>
          <w:bCs/>
        </w:rPr>
        <w:t xml:space="preserve">Локальная виртуализация.</w:t>
      </w:r>
      <w:r>
        <w:t xml:space="preserve"> </w:t>
      </w:r>
      <w:r>
        <w:t xml:space="preserve">Студенты запускают виртуальные машины (VMware, VirtualBox) локально — на аудиторных или личных рабочих станциях. Основные недостатки:</w:t>
      </w:r>
    </w:p>
    <w:p>
      <w:pPr>
        <w:pStyle w:val="Compact"/>
        <w:numPr>
          <w:ilvl w:val="1"/>
          <w:numId w:val="1006"/>
        </w:numPr>
      </w:pPr>
      <w:r>
        <w:t xml:space="preserve">неоднородность аппаратных ресурсов обучающихся (у части пользователей виртуальная машина может не запуститься из-за нехватки оперативной памяти);</w:t>
      </w:r>
    </w:p>
    <w:p>
      <w:pPr>
        <w:pStyle w:val="Compact"/>
        <w:numPr>
          <w:ilvl w:val="1"/>
          <w:numId w:val="1006"/>
        </w:numPr>
      </w:pPr>
      <w:r>
        <w:t xml:space="preserve">отсутствие централизованного контроля и аудита со стороны преподавателя;</w:t>
      </w:r>
    </w:p>
    <w:p>
      <w:pPr>
        <w:pStyle w:val="Compact"/>
        <w:numPr>
          <w:ilvl w:val="1"/>
          <w:numId w:val="1006"/>
        </w:numPr>
      </w:pPr>
      <w:r>
        <w:t xml:space="preserve">сетевые конфликты при попытке объединить локальные машины в общую учебную сеть.</w:t>
      </w:r>
    </w:p>
    <w:p>
      <w:pPr>
        <w:pStyle w:val="Compact"/>
        <w:numPr>
          <w:ilvl w:val="0"/>
          <w:numId w:val="1004"/>
        </w:numPr>
      </w:pPr>
      <w:r>
        <w:rPr>
          <w:b/>
          <w:bCs/>
        </w:rPr>
        <w:t xml:space="preserve">Ручное развёртывание администратором.</w:t>
      </w:r>
      <w:r>
        <w:t xml:space="preserve"> </w:t>
      </w:r>
      <w:r>
        <w:t xml:space="preserve">Преподаватель или лаборант вручную подготавливает среды перед занятием. Основные недостатки:</w:t>
      </w:r>
    </w:p>
    <w:p>
      <w:pPr>
        <w:pStyle w:val="Compact"/>
        <w:numPr>
          <w:ilvl w:val="1"/>
          <w:numId w:val="1007"/>
        </w:numPr>
      </w:pPr>
      <w:r>
        <w:t xml:space="preserve">низкая повторяемость (человеческий фактор ведёт к ошибкам в конфигурации);</w:t>
      </w:r>
    </w:p>
    <w:p>
      <w:pPr>
        <w:pStyle w:val="Compact"/>
        <w:numPr>
          <w:ilvl w:val="1"/>
          <w:numId w:val="1007"/>
        </w:numPr>
      </w:pPr>
      <w:r>
        <w:t xml:space="preserve">невозможность оперативного масштабирования при росте учебных групп.</w:t>
      </w:r>
    </w:p>
    <w:p>
      <w:pPr>
        <w:pStyle w:val="FirstParagraph"/>
      </w:pPr>
      <w:r>
        <w:t xml:space="preserve">Сравнение данных подходов приведено в таблице 1.1.</w:t>
      </w:r>
    </w:p>
    <w:p>
      <w:pPr>
        <w:pStyle w:val="BodyText"/>
        <w:keepNext/>
        <w:spacing w:before="240" w:after="60" w:line="240" w:lineRule="auto"/>
        <w:ind w:firstLine="0"/>
        <w:jc w:val="start"/>
      </w:pPr>
      <w:r>
        <w:rPr>
          <w:sz w:val="24"/>
          <w:szCs w:val="24"/>
        </w:rPr>
        <w:t xml:space="preserve">Таблица 1.1 — Сравнительный анализ подходов к организации лабораторного практикума</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584"/>
        <w:gridCol w:w="1584"/>
        <w:gridCol w:w="1584"/>
        <w:gridCol w:w="1584"/>
        <w:gridCol w:w="1584"/>
      </w:tblGrid>
      <w:tr>
        <w:trPr>
          <w:cantSplit/>
          <w:tblHeader w:val="on"/>
        </w:trPr>
        <w:tc>
          <w:tcPr/>
          <w:p>
            <w:pPr>
              <w:pStyle w:val="Compact"/>
              <w:keepNext/>
              <w:spacing w:before="0" w:after="0" w:line="240" w:lineRule="auto"/>
              <w:jc w:val="left"/>
              <w:ind w:firstLine="0"/>
            </w:pPr>
            <w:r>
              <w:rPr>
                <w:sz w:val="24"/>
                <w:szCs w:val="24"/>
              </w:rPr>
              <w:t xml:space="preserve">Критерий</w:t>
            </w:r>
          </w:p>
        </w:tc>
        <w:tc>
          <w:tcPr/>
          <w:p>
            <w:pPr>
              <w:pStyle w:val="Compact"/>
              <w:keepNext/>
              <w:spacing w:before="0" w:after="0" w:line="240" w:lineRule="auto"/>
              <w:jc w:val="left"/>
              <w:ind w:firstLine="0"/>
            </w:pPr>
            <w:r>
              <w:rPr>
                <w:sz w:val="24"/>
                <w:szCs w:val="24"/>
              </w:rPr>
              <w:t xml:space="preserve">Физические стенды</w:t>
            </w:r>
          </w:p>
        </w:tc>
        <w:tc>
          <w:tcPr/>
          <w:p>
            <w:pPr>
              <w:pStyle w:val="Compact"/>
              <w:keepNext/>
              <w:spacing w:before="0" w:after="0" w:line="240" w:lineRule="auto"/>
              <w:jc w:val="left"/>
              <w:ind w:firstLine="0"/>
            </w:pPr>
            <w:r>
              <w:rPr>
                <w:sz w:val="24"/>
                <w:szCs w:val="24"/>
              </w:rPr>
              <w:t xml:space="preserve">Локальные ВМ</w:t>
            </w:r>
          </w:p>
        </w:tc>
        <w:tc>
          <w:tcPr/>
          <w:p>
            <w:pPr>
              <w:pStyle w:val="Compact"/>
              <w:keepNext/>
              <w:spacing w:before="0" w:after="0" w:line="240" w:lineRule="auto"/>
              <w:jc w:val="left"/>
              <w:ind w:firstLine="0"/>
            </w:pPr>
            <w:r>
              <w:rPr>
                <w:sz w:val="24"/>
                <w:szCs w:val="24"/>
              </w:rPr>
              <w:t xml:space="preserve">Ручное развёртывание</w:t>
            </w:r>
          </w:p>
        </w:tc>
        <w:tc>
          <w:tcPr/>
          <w:p>
            <w:pPr>
              <w:pStyle w:val="Compact"/>
              <w:keepNext/>
              <w:spacing w:before="0" w:after="0" w:line="240" w:lineRule="auto"/>
              <w:jc w:val="left"/>
              <w:ind w:firstLine="0"/>
            </w:pPr>
            <w:r>
              <w:rPr>
                <w:sz w:val="24"/>
                <w:szCs w:val="24"/>
              </w:rPr>
              <w:t xml:space="preserve">Веб-платформа (проектируемое решение)</w:t>
            </w:r>
          </w:p>
        </w:tc>
      </w:tr>
      <w:tr>
        <w:trPr>
          <w:cantSplit/>
        </w:trPr>
        <w:tc>
          <w:tcPr/>
          <w:p>
            <w:pPr>
              <w:pStyle w:val="Compact"/>
              <w:keepNext/>
              <w:spacing w:before="0" w:after="0" w:line="240" w:lineRule="auto"/>
              <w:jc w:val="left"/>
              <w:ind w:firstLine="0"/>
            </w:pPr>
            <w:r>
              <w:rPr>
                <w:b/>
                <w:bCs/>
                <w:sz w:val="24"/>
                <w:szCs w:val="24"/>
              </w:rPr>
              <w:t xml:space="preserve">Масштабируемость</w:t>
            </w:r>
          </w:p>
        </w:tc>
        <w:tc>
          <w:tcPr/>
          <w:p>
            <w:pPr>
              <w:pStyle w:val="Compact"/>
              <w:keepNext/>
              <w:spacing w:before="0" w:after="0" w:line="240" w:lineRule="auto"/>
              <w:jc w:val="left"/>
              <w:ind w:firstLine="0"/>
            </w:pPr>
            <w:r>
              <w:rPr>
                <w:sz w:val="24"/>
                <w:szCs w:val="24"/>
              </w:rPr>
              <w:t xml:space="preserve">Низкая</w:t>
            </w:r>
          </w:p>
        </w:tc>
        <w:tc>
          <w:tcPr/>
          <w:p>
            <w:pPr>
              <w:pStyle w:val="Compact"/>
              <w:keepNext/>
              <w:spacing w:before="0" w:after="0" w:line="240" w:lineRule="auto"/>
              <w:jc w:val="left"/>
              <w:ind w:firstLine="0"/>
            </w:pPr>
            <w:r>
              <w:rPr>
                <w:sz w:val="24"/>
                <w:szCs w:val="24"/>
              </w:rPr>
              <w:t xml:space="preserve">Средняя</w:t>
            </w:r>
          </w:p>
        </w:tc>
        <w:tc>
          <w:tcPr/>
          <w:p>
            <w:pPr>
              <w:pStyle w:val="Compact"/>
              <w:keepNext/>
              <w:spacing w:before="0" w:after="0" w:line="240" w:lineRule="auto"/>
              <w:jc w:val="left"/>
              <w:ind w:firstLine="0"/>
            </w:pPr>
            <w:r>
              <w:rPr>
                <w:sz w:val="24"/>
                <w:szCs w:val="24"/>
              </w:rPr>
              <w:t xml:space="preserve">Низкая</w:t>
            </w:r>
          </w:p>
        </w:tc>
        <w:tc>
          <w:tcPr/>
          <w:p>
            <w:pPr>
              <w:pStyle w:val="Compact"/>
              <w:keepNext/>
              <w:spacing w:before="0" w:after="0" w:line="240" w:lineRule="auto"/>
              <w:jc w:val="left"/>
              <w:ind w:firstLine="0"/>
            </w:pPr>
            <w:r>
              <w:rPr>
                <w:sz w:val="24"/>
                <w:szCs w:val="24"/>
              </w:rPr>
              <w:t xml:space="preserve">Высокая (оркестрация Kubernetes)</w:t>
            </w:r>
          </w:p>
        </w:tc>
      </w:tr>
      <w:tr>
        <w:trPr>
          <w:cantSplit/>
        </w:trPr>
        <w:tc>
          <w:tcPr/>
          <w:p>
            <w:pPr>
              <w:pStyle w:val="Compact"/>
              <w:keepNext/>
              <w:spacing w:before="0" w:after="0" w:line="240" w:lineRule="auto"/>
              <w:jc w:val="left"/>
              <w:ind w:firstLine="0"/>
            </w:pPr>
            <w:r>
              <w:rPr>
                <w:b/>
                <w:bCs/>
                <w:sz w:val="24"/>
                <w:szCs w:val="24"/>
              </w:rPr>
              <w:t xml:space="preserve">Изоляция сред</w:t>
            </w:r>
          </w:p>
        </w:tc>
        <w:tc>
          <w:tcPr/>
          <w:p>
            <w:pPr>
              <w:pStyle w:val="Compact"/>
              <w:keepNext/>
              <w:spacing w:before="0" w:after="0" w:line="240" w:lineRule="auto"/>
              <w:jc w:val="left"/>
              <w:ind w:firstLine="0"/>
            </w:pPr>
            <w:r>
              <w:rPr>
                <w:sz w:val="24"/>
                <w:szCs w:val="24"/>
              </w:rPr>
              <w:t xml:space="preserve">Физическая</w:t>
            </w:r>
          </w:p>
        </w:tc>
        <w:tc>
          <w:tcPr/>
          <w:p>
            <w:pPr>
              <w:pStyle w:val="Compact"/>
              <w:keepNext/>
              <w:spacing w:before="0" w:after="0" w:line="240" w:lineRule="auto"/>
              <w:jc w:val="left"/>
              <w:ind w:firstLine="0"/>
            </w:pPr>
            <w:r>
              <w:rPr>
                <w:sz w:val="24"/>
                <w:szCs w:val="24"/>
              </w:rPr>
              <w:t xml:space="preserve">Локальная</w:t>
            </w:r>
          </w:p>
        </w:tc>
        <w:tc>
          <w:tcPr/>
          <w:p>
            <w:pPr>
              <w:pStyle w:val="Compact"/>
              <w:keepNext/>
              <w:spacing w:before="0" w:after="0" w:line="240" w:lineRule="auto"/>
              <w:jc w:val="left"/>
              <w:ind w:firstLine="0"/>
            </w:pPr>
            <w:r>
              <w:rPr>
                <w:sz w:val="24"/>
                <w:szCs w:val="24"/>
              </w:rPr>
              <w:t xml:space="preserve">Зависит от администратора</w:t>
            </w:r>
          </w:p>
        </w:tc>
        <w:tc>
          <w:tcPr/>
          <w:p>
            <w:pPr>
              <w:pStyle w:val="Compact"/>
              <w:keepNext/>
              <w:spacing w:before="0" w:after="0" w:line="240" w:lineRule="auto"/>
              <w:jc w:val="left"/>
              <w:ind w:firstLine="0"/>
            </w:pPr>
            <w:r>
              <w:rPr>
                <w:sz w:val="24"/>
                <w:szCs w:val="24"/>
              </w:rPr>
              <w:t xml:space="preserve">Программная (пространства имён и сетевые политики Kubernetes)</w:t>
            </w:r>
          </w:p>
        </w:tc>
      </w:tr>
      <w:tr>
        <w:trPr>
          <w:cantSplit/>
        </w:trPr>
        <w:tc>
          <w:tcPr/>
          <w:p>
            <w:pPr>
              <w:pStyle w:val="Compact"/>
              <w:keepNext/>
              <w:spacing w:before="0" w:after="0" w:line="240" w:lineRule="auto"/>
              <w:jc w:val="left"/>
              <w:ind w:firstLine="0"/>
            </w:pPr>
            <w:r>
              <w:rPr>
                <w:b/>
                <w:bCs/>
                <w:sz w:val="24"/>
                <w:szCs w:val="24"/>
              </w:rPr>
              <w:t xml:space="preserve">Воспроизводимость среды</w:t>
            </w:r>
          </w:p>
        </w:tc>
        <w:tc>
          <w:tcPr/>
          <w:p>
            <w:pPr>
              <w:pStyle w:val="Compact"/>
              <w:keepNext/>
              <w:spacing w:before="0" w:after="0" w:line="240" w:lineRule="auto"/>
              <w:jc w:val="left"/>
              <w:ind w:firstLine="0"/>
            </w:pPr>
            <w:r>
              <w:rPr>
                <w:sz w:val="24"/>
                <w:szCs w:val="24"/>
              </w:rPr>
              <w:t xml:space="preserve">Низкая (ручной откат)</w:t>
            </w:r>
          </w:p>
        </w:tc>
        <w:tc>
          <w:tcPr/>
          <w:p>
            <w:pPr>
              <w:pStyle w:val="Compact"/>
              <w:keepNext/>
              <w:spacing w:before="0" w:after="0" w:line="240" w:lineRule="auto"/>
              <w:jc w:val="left"/>
              <w:ind w:firstLine="0"/>
            </w:pPr>
            <w:r>
              <w:rPr>
                <w:sz w:val="24"/>
                <w:szCs w:val="24"/>
              </w:rPr>
              <w:t xml:space="preserve">Средняя</w:t>
            </w:r>
          </w:p>
        </w:tc>
        <w:tc>
          <w:tcPr/>
          <w:p>
            <w:pPr>
              <w:pStyle w:val="Compact"/>
              <w:keepNext/>
              <w:spacing w:before="0" w:after="0" w:line="240" w:lineRule="auto"/>
              <w:jc w:val="left"/>
              <w:ind w:firstLine="0"/>
            </w:pPr>
            <w:r>
              <w:rPr>
                <w:sz w:val="24"/>
                <w:szCs w:val="24"/>
              </w:rPr>
              <w:t xml:space="preserve">Низкая (человеческий фактор)</w:t>
            </w:r>
          </w:p>
        </w:tc>
        <w:tc>
          <w:tcPr/>
          <w:p>
            <w:pPr>
              <w:pStyle w:val="Compact"/>
              <w:keepNext/>
              <w:spacing w:before="0" w:after="0" w:line="240" w:lineRule="auto"/>
              <w:jc w:val="left"/>
              <w:ind w:firstLine="0"/>
            </w:pPr>
            <w:r>
              <w:rPr>
                <w:sz w:val="24"/>
                <w:szCs w:val="24"/>
              </w:rPr>
              <w:t xml:space="preserve">Высокая (декларативное описание, пересоздание из образа)</w:t>
            </w:r>
          </w:p>
        </w:tc>
      </w:tr>
      <w:tr>
        <w:trPr>
          <w:cantSplit/>
        </w:trPr>
        <w:tc>
          <w:tcPr/>
          <w:p>
            <w:pPr>
              <w:pStyle w:val="Compact"/>
              <w:keepNext/>
              <w:spacing w:before="0" w:after="0" w:line="240" w:lineRule="auto"/>
              <w:jc w:val="left"/>
              <w:ind w:firstLine="0"/>
            </w:pPr>
            <w:r>
              <w:rPr>
                <w:b/>
                <w:bCs/>
                <w:sz w:val="24"/>
                <w:szCs w:val="24"/>
              </w:rPr>
              <w:t xml:space="preserve">Эффективность использования ресурсов</w:t>
            </w:r>
          </w:p>
        </w:tc>
        <w:tc>
          <w:tcPr/>
          <w:p>
            <w:pPr>
              <w:pStyle w:val="Compact"/>
              <w:keepNext/>
              <w:spacing w:before="0" w:after="0" w:line="240" w:lineRule="auto"/>
              <w:jc w:val="left"/>
              <w:ind w:firstLine="0"/>
            </w:pPr>
            <w:r>
              <w:rPr>
                <w:sz w:val="24"/>
                <w:szCs w:val="24"/>
              </w:rPr>
              <w:t xml:space="preserve">Низкая (оборудование простаивает)</w:t>
            </w:r>
          </w:p>
        </w:tc>
        <w:tc>
          <w:tcPr/>
          <w:p>
            <w:pPr>
              <w:pStyle w:val="Compact"/>
              <w:keepNext/>
              <w:spacing w:before="0" w:after="0" w:line="240" w:lineRule="auto"/>
              <w:jc w:val="left"/>
              <w:ind w:firstLine="0"/>
            </w:pPr>
            <w:r>
              <w:rPr>
                <w:sz w:val="24"/>
                <w:szCs w:val="24"/>
              </w:rPr>
              <w:t xml:space="preserve">Зависит от станции студента</w:t>
            </w:r>
          </w:p>
        </w:tc>
        <w:tc>
          <w:tcPr/>
          <w:p>
            <w:pPr>
              <w:pStyle w:val="Compact"/>
              <w:keepNext/>
              <w:spacing w:before="0" w:after="0" w:line="240" w:lineRule="auto"/>
              <w:jc w:val="left"/>
              <w:ind w:firstLine="0"/>
            </w:pPr>
            <w:r>
              <w:rPr>
                <w:sz w:val="24"/>
                <w:szCs w:val="24"/>
              </w:rPr>
              <w:t xml:space="preserve">Низкая</w:t>
            </w:r>
          </w:p>
        </w:tc>
        <w:tc>
          <w:tcPr/>
          <w:p>
            <w:pPr>
              <w:pStyle w:val="Compact"/>
              <w:keepNext/>
              <w:spacing w:before="0" w:after="0" w:line="240" w:lineRule="auto"/>
              <w:jc w:val="left"/>
              <w:ind w:firstLine="0"/>
            </w:pPr>
            <w:r>
              <w:rPr>
                <w:sz w:val="24"/>
                <w:szCs w:val="24"/>
              </w:rPr>
              <w:t xml:space="preserve">Высокая (плотное размещение контейнеров в кластере)</w:t>
            </w:r>
          </w:p>
        </w:tc>
      </w:tr>
      <w:tr>
        <w:trPr>
          <w:cantSplit/>
        </w:trPr>
        <w:tc>
          <w:tcPr/>
          <w:p>
            <w:pPr>
              <w:pStyle w:val="Compact"/>
              <w:keepNext/>
              <w:spacing w:before="0" w:after="0" w:line="240" w:lineRule="auto"/>
              <w:jc w:val="left"/>
              <w:ind w:firstLine="0"/>
            </w:pPr>
            <w:r>
              <w:rPr>
                <w:b/>
                <w:bCs/>
                <w:sz w:val="24"/>
                <w:szCs w:val="24"/>
              </w:rPr>
              <w:t xml:space="preserve">Трудозатраты на сопровождение</w:t>
            </w:r>
          </w:p>
        </w:tc>
        <w:tc>
          <w:tcPr/>
          <w:p>
            <w:pPr>
              <w:pStyle w:val="Compact"/>
              <w:keepNext/>
              <w:spacing w:before="0" w:after="0" w:line="240" w:lineRule="auto"/>
              <w:jc w:val="left"/>
              <w:ind w:firstLine="0"/>
            </w:pPr>
            <w:r>
              <w:rPr>
                <w:sz w:val="24"/>
                <w:szCs w:val="24"/>
              </w:rPr>
              <w:t xml:space="preserve">Высокие</w:t>
            </w:r>
          </w:p>
        </w:tc>
        <w:tc>
          <w:tcPr/>
          <w:p>
            <w:pPr>
              <w:pStyle w:val="Compact"/>
              <w:keepNext/>
              <w:spacing w:before="0" w:after="0" w:line="240" w:lineRule="auto"/>
              <w:jc w:val="left"/>
              <w:ind w:firstLine="0"/>
            </w:pPr>
            <w:r>
              <w:rPr>
                <w:sz w:val="24"/>
                <w:szCs w:val="24"/>
              </w:rPr>
              <w:t xml:space="preserve">Низкие (у студента)</w:t>
            </w:r>
          </w:p>
        </w:tc>
        <w:tc>
          <w:tcPr/>
          <w:p>
            <w:pPr>
              <w:pStyle w:val="Compact"/>
              <w:keepNext/>
              <w:spacing w:before="0" w:after="0" w:line="240" w:lineRule="auto"/>
              <w:jc w:val="left"/>
              <w:ind w:firstLine="0"/>
            </w:pPr>
            <w:r>
              <w:rPr>
                <w:sz w:val="24"/>
                <w:szCs w:val="24"/>
              </w:rPr>
              <w:t xml:space="preserve">Критически высокие</w:t>
            </w:r>
          </w:p>
        </w:tc>
        <w:tc>
          <w:tcPr/>
          <w:p>
            <w:pPr>
              <w:pStyle w:val="Compact"/>
              <w:keepNext/>
              <w:spacing w:before="0" w:after="0" w:line="240" w:lineRule="auto"/>
              <w:jc w:val="left"/>
              <w:ind w:firstLine="0"/>
            </w:pPr>
            <w:r>
              <w:rPr>
                <w:sz w:val="24"/>
                <w:szCs w:val="24"/>
              </w:rPr>
              <w:t xml:space="preserve">Автоматизировано</w:t>
            </w:r>
          </w:p>
        </w:tc>
      </w:tr>
      <w:tr>
        <w:trPr>
          <w:cantSplit/>
        </w:trPr>
        <w:tc>
          <w:tcPr/>
          <w:p>
            <w:pPr>
              <w:pStyle w:val="Compact"/>
              <w:spacing w:before="0" w:after="0" w:line="240" w:lineRule="auto"/>
              <w:jc w:val="left"/>
              <w:ind w:firstLine="0"/>
            </w:pPr>
            <w:r>
              <w:rPr>
                <w:b/>
                <w:bCs/>
                <w:sz w:val="24"/>
                <w:szCs w:val="24"/>
              </w:rPr>
              <w:t xml:space="preserve">Аудит действий</w:t>
            </w:r>
          </w:p>
        </w:tc>
        <w:tc>
          <w:tcPr/>
          <w:p>
            <w:pPr>
              <w:pStyle w:val="Compact"/>
              <w:spacing w:before="0" w:after="0" w:line="240" w:lineRule="auto"/>
              <w:jc w:val="left"/>
              <w:ind w:firstLine="0"/>
            </w:pPr>
            <w:r>
              <w:rPr>
                <w:sz w:val="24"/>
                <w:szCs w:val="24"/>
              </w:rPr>
              <w:t xml:space="preserve">Затруднён</w:t>
            </w:r>
          </w:p>
        </w:tc>
        <w:tc>
          <w:tcPr/>
          <w:p>
            <w:pPr>
              <w:pStyle w:val="Compact"/>
              <w:spacing w:before="0" w:after="0" w:line="240" w:lineRule="auto"/>
              <w:jc w:val="left"/>
              <w:ind w:firstLine="0"/>
            </w:pPr>
            <w:r>
              <w:rPr>
                <w:sz w:val="24"/>
                <w:szCs w:val="24"/>
              </w:rPr>
              <w:t xml:space="preserve">Отсутствует</w:t>
            </w:r>
          </w:p>
        </w:tc>
        <w:tc>
          <w:tcPr/>
          <w:p>
            <w:pPr>
              <w:pStyle w:val="Compact"/>
              <w:spacing w:before="0" w:after="0" w:line="240" w:lineRule="auto"/>
              <w:jc w:val="left"/>
              <w:ind w:firstLine="0"/>
            </w:pPr>
            <w:r>
              <w:rPr>
                <w:sz w:val="24"/>
                <w:szCs w:val="24"/>
              </w:rPr>
              <w:t xml:space="preserve">Частичный</w:t>
            </w:r>
          </w:p>
        </w:tc>
        <w:tc>
          <w:tcPr/>
          <w:p>
            <w:pPr>
              <w:pStyle w:val="Compact"/>
              <w:spacing w:before="0" w:after="0" w:line="240" w:lineRule="auto"/>
              <w:jc w:val="left"/>
              <w:ind w:firstLine="0"/>
            </w:pPr>
            <w:r>
              <w:rPr>
                <w:sz w:val="24"/>
                <w:szCs w:val="24"/>
              </w:rPr>
              <w:t xml:space="preserve">Полный (централизованно)</w:t>
            </w:r>
          </w:p>
        </w:tc>
      </w:tr>
    </w:tbl>
    <w:p>
      <w:pPr>
        <w:pStyle w:val="BodyText"/>
      </w:pPr>
      <w:r>
        <w:t xml:space="preserve">Ключевое преимущество проектируемого решения над традиционными подходами обеспечивается оркестрацией контейнеров средствами Kubernetes: программная изоляция учебных окружений в отдельных пространствах имён, декларативная воспроизводимость сред и горизонтальное масштабирование позволяют организовать качественный и безопасный образовательный процесс в современных масштабах без привязки к конкретному физическому оборудованию.</w:t>
      </w:r>
    </w:p>
    <w:bookmarkEnd w:id="21"/>
    <w:bookmarkStart w:id="22" w:name="X65523f8404adb77bccee5c970b49b48631de527"/>
    <w:p>
      <w:pPr>
        <w:pStyle w:val="2"/>
      </w:pPr>
      <w:r>
        <w:t xml:space="preserve">1.3. Обзор архитектурных подходов к построению серверной части</w:t>
      </w:r>
    </w:p>
    <w:p>
      <w:pPr>
        <w:pStyle w:val="FirstParagraph"/>
      </w:pPr>
      <w:r>
        <w:t xml:space="preserve">При построении серверной части веб-приложения принято выделять три типовых архитектурных подхода, различающихся способом декомпозиции системы и степенью изоляции компонентов.</w:t>
      </w:r>
    </w:p>
    <w:p>
      <w:pPr>
        <w:pStyle w:val="Compact"/>
        <w:numPr>
          <w:ilvl w:val="0"/>
          <w:numId w:val="1008"/>
        </w:numPr>
      </w:pPr>
      <w:r>
        <w:rPr>
          <w:b/>
          <w:bCs/>
        </w:rPr>
        <w:t xml:space="preserve">Монолитная архитектура</w:t>
      </w:r>
      <w:r>
        <w:t xml:space="preserve"> </w:t>
      </w:r>
      <w:r>
        <w:t xml:space="preserve">— приложение разворачивается как единый процесс с общей базой данных. Обеспечивает простоту разработки и единую транзакционную модель, однако затрудняет изоляцию: ошибка или компрометация одного модуля затрагивает всю систему.</w:t>
      </w:r>
    </w:p>
    <w:p>
      <w:pPr>
        <w:pStyle w:val="Compact"/>
        <w:numPr>
          <w:ilvl w:val="0"/>
          <w:numId w:val="1008"/>
        </w:numPr>
      </w:pPr>
      <w:r>
        <w:rPr>
          <w:b/>
          <w:bCs/>
        </w:rPr>
        <w:t xml:space="preserve">Модульный монолит</w:t>
      </w:r>
      <w:r>
        <w:t xml:space="preserve"> </w:t>
      </w:r>
      <w:r>
        <w:t xml:space="preserve">— единое развёртывание с чётким разделением на внутренние модули с явными интерфейсами. Упрощает тестирование и сопровождение по сравнению с классическим монолитом, но масштабирование и обновление по-прежнему выполняются для приложения целиком.</w:t>
      </w:r>
    </w:p>
    <w:p>
      <w:pPr>
        <w:pStyle w:val="Compact"/>
        <w:numPr>
          <w:ilvl w:val="0"/>
          <w:numId w:val="1008"/>
        </w:numPr>
      </w:pPr>
      <w:r>
        <w:rPr>
          <w:b/>
          <w:bCs/>
        </w:rPr>
        <w:t xml:space="preserve">Микросервисная архитектура</w:t>
      </w:r>
      <w:r>
        <w:t xml:space="preserve"> </w:t>
      </w:r>
      <w:r>
        <w:t xml:space="preserve">— система разбивается на независимо развёртываемые сервисы, каждый из которых отвечает за свою функцию и взаимодействует с остальными через сетевые контракты [11]. Обеспечивает изоляцию и независимое масштабирование ценой усложнения эксплуатации и накладных расходов на межсервисное взаимодействие.</w:t>
      </w:r>
    </w:p>
    <w:p>
      <w:pPr>
        <w:pStyle w:val="FirstParagraph"/>
      </w:pPr>
      <w:r>
        <w:t xml:space="preserve">Перечисленные подходы различаются прежде всего возможностью локализовать компрометацию отдельного компонента, что является определяющим фактором для защищённой образовательной платформы. Обоснованный выбор между ними на основе сформулированных требований выполняется во второй главе.</w:t>
      </w:r>
    </w:p>
    <w:bookmarkEnd w:id="22"/>
    <w:bookmarkStart w:id="23" w:name="кибериммунный-подход"/>
    <w:p>
      <w:pPr>
        <w:pStyle w:val="2"/>
      </w:pPr>
      <w:r>
        <w:t xml:space="preserve">1.4. Кибериммунный подход</w:t>
      </w:r>
    </w:p>
    <w:p>
      <w:pPr>
        <w:pStyle w:val="FirstParagraph"/>
      </w:pPr>
      <w:r>
        <w:t xml:space="preserve">Кибериммунный подход — это методология построения информационных систем, при которой подавляющее большинство возможных видов атак не способно нарушить выполнение критически важных функций. В отличие от «наложенной» защиты, добавляемой к уже готовой системе, кибериммунность закладывается на этапе проектирования архитектуры, то есть является конструктивной. Подход опирается на три ключевых принципа:</w:t>
      </w:r>
    </w:p>
    <w:p>
      <w:pPr>
        <w:pStyle w:val="Compact"/>
        <w:numPr>
          <w:ilvl w:val="0"/>
          <w:numId w:val="1009"/>
        </w:numPr>
      </w:pPr>
      <w:r>
        <w:t xml:space="preserve">разделение системы на изолированные домены безопасности с явно описанными правилами взаимодействия;</w:t>
      </w:r>
    </w:p>
    <w:p>
      <w:pPr>
        <w:pStyle w:val="Compact"/>
        <w:numPr>
          <w:ilvl w:val="0"/>
          <w:numId w:val="1009"/>
        </w:numPr>
      </w:pPr>
      <w:r>
        <w:t xml:space="preserve">минимизация доверенной вычислительной базы (Trusted Computing Base, TCB) — совокупности компонентов, которым система вынуждена безоговорочно доверять и компрометация которых нарушает её безопасность;</w:t>
      </w:r>
    </w:p>
    <w:p>
      <w:pPr>
        <w:pStyle w:val="Compact"/>
        <w:numPr>
          <w:ilvl w:val="0"/>
          <w:numId w:val="1009"/>
        </w:numPr>
      </w:pPr>
      <w:r>
        <w:t xml:space="preserve">контроль всех межкомпонентных взаимодействий по принципу «запрещено всё, что не разрешено явно» (default-deny).</w:t>
      </w:r>
    </w:p>
    <w:p>
      <w:pPr>
        <w:pStyle w:val="FirstParagraph"/>
      </w:pPr>
      <w:r>
        <w:t xml:space="preserve">Применительно к серверной части образовательной платформы это означает, что компрометация отдельного сервиса (например, модуля управления учебными материалами) не должна приводить к получению контроля над инфраструктурой или к доступу к данным других пользователей. Такому свойству способствует микросервисная архитектура, в которой каждый сервис выполняет узкоспециализированную функцию, обладает собственной средой исполнения и минимальным набором полномочий, а операции, критичные для инфраструктуры, вынесены в отдельный доверенный контур, что согласуется с рекомендациями NIST по безопасности микросервисных систем [16]. Способы применения этих принципов при проектировании платформы рассматриваются в главе 3.</w:t>
      </w:r>
    </w:p>
    <w:bookmarkEnd w:id="23"/>
    <w:bookmarkStart w:id="24" w:name="X8086c1c5cdd04b690c23bbfa4b84a69026daf7f"/>
    <w:p>
      <w:pPr>
        <w:pStyle w:val="2"/>
      </w:pPr>
      <w:r>
        <w:t xml:space="preserve">1.5. Модели разграничения доступа: от RBAC к ABAC</w:t>
      </w:r>
    </w:p>
    <w:p>
      <w:pPr>
        <w:pStyle w:val="FirstParagraph"/>
      </w:pPr>
      <w:r>
        <w:t xml:space="preserve">Разграничение доступа является центральным механизмом защиты серверной части. Традиционно для этого применяется ролевая модель</w:t>
      </w:r>
      <w:r>
        <w:t xml:space="preserve"> </w:t>
      </w:r>
      <w:r>
        <w:rPr>
          <w:b/>
          <w:bCs/>
        </w:rPr>
        <w:t xml:space="preserve">RBAC (Role-Based Access Control)</w:t>
      </w:r>
      <w:r>
        <w:t xml:space="preserve"> </w:t>
      </w:r>
      <w:r>
        <w:t xml:space="preserve">[9], в которой права выдаются не пользователю напрямую, а через назначенные ему роли. Однако в образовательной среде использование только ролей приводит к проблеме «взрыва ролей» (Role Explosion): для каждого сочетания дисциплины, группы и уровня доступа приходится заводить отдельную роль, что быстро делает систему ролей неуправляемой.</w:t>
      </w:r>
    </w:p>
    <w:p>
      <w:pPr>
        <w:pStyle w:val="BodyText"/>
      </w:pPr>
      <w:r>
        <w:t xml:space="preserve">Атрибутная модель</w:t>
      </w:r>
      <w:r>
        <w:t xml:space="preserve"> </w:t>
      </w:r>
      <w:r>
        <w:rPr>
          <w:b/>
          <w:bCs/>
        </w:rPr>
        <w:t xml:space="preserve">ABAC (Attribute-Based Access Control)</w:t>
      </w:r>
      <w:r>
        <w:t xml:space="preserve"> </w:t>
      </w:r>
      <w:r>
        <w:t xml:space="preserve">[10] принимает решение о доступе на основании атрибутов субъекта, объекта и окружения, что обеспечивает высокую гибкость, но усложняет управление политиками. На практике эффективным оказывается сочетание обеих моделей: грубая классификация прав задаётся ролями, а точечные ограничения на конкретные ресурсы — атрибутами. Сравнение моделей приведено в таблице 1.2.</w:t>
      </w:r>
    </w:p>
    <w:p>
      <w:pPr>
        <w:pStyle w:val="BodyText"/>
        <w:keepNext/>
        <w:spacing w:before="240" w:after="60" w:line="240" w:lineRule="auto"/>
        <w:ind w:firstLine="0"/>
        <w:jc w:val="start"/>
      </w:pPr>
      <w:r>
        <w:rPr>
          <w:sz w:val="24"/>
          <w:szCs w:val="24"/>
        </w:rPr>
        <w:t xml:space="preserve">Таблица 1.2 — Сравнительный анализ моделей разграничения доступа в образовательной среде</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Критерий</w:t>
            </w:r>
          </w:p>
        </w:tc>
        <w:tc>
          <w:tcPr/>
          <w:p>
            <w:pPr>
              <w:pStyle w:val="Compact"/>
              <w:keepNext/>
              <w:spacing w:before="0" w:after="0" w:line="240" w:lineRule="auto"/>
              <w:jc w:val="left"/>
              <w:ind w:firstLine="0"/>
            </w:pPr>
            <w:r>
              <w:rPr>
                <w:sz w:val="24"/>
                <w:szCs w:val="24"/>
              </w:rPr>
              <w:t xml:space="preserve">RBAC (ролевая)</w:t>
            </w:r>
          </w:p>
        </w:tc>
        <w:tc>
          <w:tcPr/>
          <w:p>
            <w:pPr>
              <w:pStyle w:val="Compact"/>
              <w:keepNext/>
              <w:spacing w:before="0" w:after="0" w:line="240" w:lineRule="auto"/>
              <w:jc w:val="left"/>
              <w:ind w:firstLine="0"/>
            </w:pPr>
            <w:r>
              <w:rPr>
                <w:sz w:val="24"/>
                <w:szCs w:val="24"/>
              </w:rPr>
              <w:t xml:space="preserve">ABAC (атрибутная)</w:t>
            </w:r>
          </w:p>
        </w:tc>
        <w:tc>
          <w:tcPr/>
          <w:p>
            <w:pPr>
              <w:pStyle w:val="Compact"/>
              <w:keepNext/>
              <w:spacing w:before="0" w:after="0" w:line="240" w:lineRule="auto"/>
              <w:jc w:val="left"/>
              <w:ind w:firstLine="0"/>
            </w:pPr>
            <w:r>
              <w:rPr>
                <w:sz w:val="24"/>
                <w:szCs w:val="24"/>
              </w:rPr>
              <w:t xml:space="preserve">Гибридная</w:t>
            </w:r>
          </w:p>
        </w:tc>
      </w:tr>
      <w:tr>
        <w:trPr>
          <w:cantSplit/>
        </w:trPr>
        <w:tc>
          <w:tcPr/>
          <w:p>
            <w:pPr>
              <w:pStyle w:val="Compact"/>
              <w:keepNext/>
              <w:spacing w:before="0" w:after="0" w:line="240" w:lineRule="auto"/>
              <w:jc w:val="left"/>
              <w:ind w:firstLine="0"/>
            </w:pPr>
            <w:r>
              <w:rPr>
                <w:b/>
                <w:bCs/>
                <w:sz w:val="24"/>
                <w:szCs w:val="24"/>
              </w:rPr>
              <w:t xml:space="preserve">Гибкость</w:t>
            </w:r>
          </w:p>
        </w:tc>
        <w:tc>
          <w:tcPr/>
          <w:p>
            <w:pPr>
              <w:pStyle w:val="Compact"/>
              <w:keepNext/>
              <w:spacing w:before="0" w:after="0" w:line="240" w:lineRule="auto"/>
              <w:jc w:val="left"/>
              <w:ind w:firstLine="0"/>
            </w:pPr>
            <w:r>
              <w:rPr>
                <w:sz w:val="24"/>
                <w:szCs w:val="24"/>
              </w:rPr>
              <w:t xml:space="preserve">Низкая (статичные права)</w:t>
            </w:r>
          </w:p>
        </w:tc>
        <w:tc>
          <w:tcPr/>
          <w:p>
            <w:pPr>
              <w:pStyle w:val="Compact"/>
              <w:keepNext/>
              <w:spacing w:before="0" w:after="0" w:line="240" w:lineRule="auto"/>
              <w:jc w:val="left"/>
              <w:ind w:firstLine="0"/>
            </w:pPr>
            <w:r>
              <w:rPr>
                <w:sz w:val="24"/>
                <w:szCs w:val="24"/>
              </w:rPr>
              <w:t xml:space="preserve">Максимальная</w:t>
            </w:r>
          </w:p>
        </w:tc>
        <w:tc>
          <w:tcPr/>
          <w:p>
            <w:pPr>
              <w:pStyle w:val="Compact"/>
              <w:keepNext/>
              <w:spacing w:before="0" w:after="0" w:line="240" w:lineRule="auto"/>
              <w:jc w:val="left"/>
              <w:ind w:firstLine="0"/>
            </w:pPr>
            <w:r>
              <w:rPr>
                <w:sz w:val="24"/>
                <w:szCs w:val="24"/>
              </w:rPr>
              <w:t xml:space="preserve">Оптимальная</w:t>
            </w:r>
          </w:p>
        </w:tc>
      </w:tr>
      <w:tr>
        <w:trPr>
          <w:cantSplit/>
        </w:trPr>
        <w:tc>
          <w:tcPr/>
          <w:p>
            <w:pPr>
              <w:pStyle w:val="Compact"/>
              <w:keepNext/>
              <w:spacing w:before="0" w:after="0" w:line="240" w:lineRule="auto"/>
              <w:jc w:val="left"/>
              <w:ind w:firstLine="0"/>
            </w:pPr>
            <w:r>
              <w:rPr>
                <w:b/>
                <w:bCs/>
                <w:sz w:val="24"/>
                <w:szCs w:val="24"/>
              </w:rPr>
              <w:t xml:space="preserve">Управление</w:t>
            </w:r>
          </w:p>
        </w:tc>
        <w:tc>
          <w:tcPr/>
          <w:p>
            <w:pPr>
              <w:pStyle w:val="Compact"/>
              <w:keepNext/>
              <w:spacing w:before="0" w:after="0" w:line="240" w:lineRule="auto"/>
              <w:jc w:val="left"/>
              <w:ind w:firstLine="0"/>
            </w:pPr>
            <w:r>
              <w:rPr>
                <w:sz w:val="24"/>
                <w:szCs w:val="24"/>
              </w:rPr>
              <w:t xml:space="preserve">Простое для малых систем</w:t>
            </w:r>
          </w:p>
        </w:tc>
        <w:tc>
          <w:tcPr/>
          <w:p>
            <w:pPr>
              <w:pStyle w:val="Compact"/>
              <w:keepNext/>
              <w:spacing w:before="0" w:after="0" w:line="240" w:lineRule="auto"/>
              <w:jc w:val="left"/>
              <w:ind w:firstLine="0"/>
            </w:pPr>
            <w:r>
              <w:rPr>
                <w:sz w:val="24"/>
                <w:szCs w:val="24"/>
              </w:rPr>
              <w:t xml:space="preserve">Сложное (логика политик)</w:t>
            </w:r>
          </w:p>
        </w:tc>
        <w:tc>
          <w:tcPr/>
          <w:p>
            <w:pPr>
              <w:pStyle w:val="Compact"/>
              <w:keepNext/>
              <w:spacing w:before="0" w:after="0" w:line="240" w:lineRule="auto"/>
              <w:jc w:val="left"/>
              <w:ind w:firstLine="0"/>
            </w:pPr>
            <w:r>
              <w:rPr>
                <w:sz w:val="24"/>
                <w:szCs w:val="24"/>
              </w:rPr>
              <w:t xml:space="preserve">Сбалансированное</w:t>
            </w:r>
          </w:p>
        </w:tc>
      </w:tr>
      <w:tr>
        <w:trPr>
          <w:cantSplit/>
        </w:trPr>
        <w:tc>
          <w:tcPr/>
          <w:p>
            <w:pPr>
              <w:pStyle w:val="Compact"/>
              <w:spacing w:before="0" w:after="0" w:line="240" w:lineRule="auto"/>
              <w:jc w:val="left"/>
              <w:ind w:firstLine="0"/>
            </w:pPr>
            <w:r>
              <w:rPr>
                <w:b/>
                <w:bCs/>
                <w:sz w:val="24"/>
                <w:szCs w:val="24"/>
              </w:rPr>
              <w:t xml:space="preserve">Масштабируемость</w:t>
            </w:r>
          </w:p>
        </w:tc>
        <w:tc>
          <w:tcPr/>
          <w:p>
            <w:pPr>
              <w:pStyle w:val="Compact"/>
              <w:spacing w:before="0" w:after="0" w:line="240" w:lineRule="auto"/>
              <w:jc w:val="left"/>
              <w:ind w:firstLine="0"/>
            </w:pPr>
            <w:r>
              <w:rPr>
                <w:sz w:val="24"/>
                <w:szCs w:val="24"/>
              </w:rPr>
              <w:t xml:space="preserve">Низкая (Role Explosion)</w:t>
            </w:r>
          </w:p>
        </w:tc>
        <w:tc>
          <w:tcPr/>
          <w:p>
            <w:pPr>
              <w:pStyle w:val="Compact"/>
              <w:spacing w:before="0" w:after="0" w:line="240" w:lineRule="auto"/>
              <w:jc w:val="left"/>
              <w:ind w:firstLine="0"/>
            </w:pPr>
            <w:r>
              <w:rPr>
                <w:sz w:val="24"/>
                <w:szCs w:val="24"/>
              </w:rPr>
              <w:t xml:space="preserve">Высокая</w:t>
            </w:r>
          </w:p>
        </w:tc>
        <w:tc>
          <w:tcPr/>
          <w:p>
            <w:pPr>
              <w:pStyle w:val="Compact"/>
              <w:spacing w:before="0" w:after="0" w:line="240" w:lineRule="auto"/>
              <w:jc w:val="left"/>
              <w:ind w:firstLine="0"/>
            </w:pPr>
            <w:r>
              <w:rPr>
                <w:sz w:val="24"/>
                <w:szCs w:val="24"/>
              </w:rPr>
              <w:t xml:space="preserve">Высокая</w:t>
            </w:r>
          </w:p>
        </w:tc>
      </w:tr>
    </w:tbl>
    <w:p>
      <w:pPr>
        <w:pStyle w:val="BodyText"/>
      </w:pPr>
      <w:r>
        <w:t xml:space="preserve">Гибридная модель сочетает простоту администрирования ролей с гибкостью атрибутных правил и потому принята за основу разрабатываемого механизма разграничения доступа; её проектирование рассматривается в главе 3, а программная реализация — в главе 4.</w:t>
      </w:r>
    </w:p>
    <w:bookmarkEnd w:id="24"/>
    <w:bookmarkStart w:id="25" w:name="X4abc3e21b58359b0dcfe64c9d259ad256baf751"/>
    <w:p>
      <w:pPr>
        <w:pStyle w:val="2"/>
      </w:pPr>
      <w:r>
        <w:t xml:space="preserve">1.6. Точки принятия и исполнения решений о доступе</w:t>
      </w:r>
    </w:p>
    <w:p>
      <w:pPr>
        <w:pStyle w:val="FirstParagraph"/>
      </w:pPr>
      <w:r>
        <w:t xml:space="preserve">Независимо от выбранной модели, разграничение доступа в системах контроля доступа принято разделять на две логические точки:</w:t>
      </w:r>
    </w:p>
    <w:p>
      <w:pPr>
        <w:pStyle w:val="Compact"/>
        <w:numPr>
          <w:ilvl w:val="0"/>
          <w:numId w:val="1010"/>
        </w:numPr>
      </w:pPr>
      <w:r>
        <w:rPr>
          <w:b/>
          <w:bCs/>
        </w:rPr>
        <w:t xml:space="preserve">точка исполнения политики (Policy Enforcement Point, PEP)</w:t>
      </w:r>
      <w:r>
        <w:t xml:space="preserve"> </w:t>
      </w:r>
      <w:r>
        <w:t xml:space="preserve">— компонент, который перехватывает каждый запрос пользователя и не пропускает его дальше до получения решения; в серверной части эту роль обычно выполняет промежуточный слой (middleware) веб-фреймворка;</w:t>
      </w:r>
    </w:p>
    <w:p>
      <w:pPr>
        <w:pStyle w:val="Compact"/>
        <w:numPr>
          <w:ilvl w:val="0"/>
          <w:numId w:val="1010"/>
        </w:numPr>
      </w:pPr>
      <w:r>
        <w:rPr>
          <w:b/>
          <w:bCs/>
        </w:rPr>
        <w:t xml:space="preserve">точка принятия решения (Policy Decision Point, PDP)</w:t>
      </w:r>
      <w:r>
        <w:t xml:space="preserve"> </w:t>
      </w:r>
      <w:r>
        <w:t xml:space="preserve">— компонент, который на основании ролей и атрибутов субъекта, объекта и окружения формирует вердикт «разрешить» либо «запретить».</w:t>
      </w:r>
    </w:p>
    <w:p>
      <w:pPr>
        <w:pStyle w:val="FirstParagraph"/>
      </w:pPr>
      <w:r>
        <w:t xml:space="preserve">Разделение PEP и PDP позволяет изменять политики безопасности, не затрагивая прикладную логику конечных точек API, и обеспечивает единообразную проверку прав для всех модулей системы [18]. Источником атрибутов для PDP служит точка предоставления информации (Policy Information Point, PIP). Такая организация контроля доступа соответствует принципу конструктивной безопасности и реализует серверную проверку каждого обращения к защищённому ресурсу. Конкретная схема прохождения запроса через PEP и PDP в проектируемой платформе приводится в главе 3, а её программная реализация — в главе 4.</w:t>
      </w:r>
    </w:p>
    <w:p>
      <w:pPr>
        <w:pStyle w:val="BodyText"/>
      </w:pPr>
      <w:r>
        <w:t xml:space="preserve">Проведённый анализ показал, что существующие методы организации лабораторных работ (физические стенды, локальная виртуализация, ручное развёртывание) не соответствуют современным требованиям к масштабируемости, воспроизводимости и защищённости образовательного процесса, что обосновывает разработку серверной части веб-платформы с оркестрацией изолированных сред. Рассмотрены теоретические основы построения такой серверной части: типовые архитектурные подходы, кибериммунный подход как способ конструктивной защиты, модели разграничения доступа (RBAC, ABAC и их сочетание) и схема разделения логики контроля доступа на точки PEP и PDP. Полученные теоретические результаты образуют основу для формулирования требований к серверной части и обоснования архитектурных решений во второй главе.</w:t>
      </w:r>
    </w:p>
    <w:bookmarkEnd w:id="25"/>
    <w:bookmarkEnd w:id="26"/>
    <w:bookmarkStart w:id="37" w:name="Xb7837e8964e5781c002b022b7a17e69d43c742a"/>
    <w:p>
      <w:pPr>
        <w:pStyle w:val="1"/>
        <w:jc w:val="center"/>
        <w:ind w:firstLine="0"/>
      </w:pPr>
      <w:r>
        <w:t xml:space="preserve">2. НОРМАТИВНАЯ БАЗА И ТРЕБОВАНИЯ К СЕРВЕРНОЙ ЧАСТИ ПЛАТФОРМЫ</w:t>
      </w:r>
    </w:p>
    <w:bookmarkStart w:id="30" w:name="Xe7970428504454368225336bddc3aecc785fa18"/>
    <w:p>
      <w:pPr>
        <w:pStyle w:val="2"/>
      </w:pPr>
      <w:r>
        <w:t xml:space="preserve">2.1. Заинтересованные стороны и сценарии использования</w:t>
      </w:r>
    </w:p>
    <w:p>
      <w:pPr>
        <w:pStyle w:val="FirstParagraph"/>
      </w:pPr>
      <w:r>
        <w:t xml:space="preserve">Для корректной постановки требований проведён анализ ролей пользователей и их целей. Выделены четыре основные роли:</w:t>
      </w:r>
    </w:p>
    <w:p>
      <w:pPr>
        <w:pStyle w:val="Compact"/>
        <w:numPr>
          <w:ilvl w:val="0"/>
          <w:numId w:val="1011"/>
        </w:numPr>
      </w:pPr>
      <w:r>
        <w:rPr>
          <w:b/>
          <w:bCs/>
        </w:rPr>
        <w:t xml:space="preserve">Студент</w:t>
      </w:r>
      <w:r>
        <w:t xml:space="preserve"> </w:t>
      </w:r>
      <w:r>
        <w:t xml:space="preserve">— получает назначенные его группе материалы и лабораторные среды, выполняет задания в отведённое время;</w:t>
      </w:r>
    </w:p>
    <w:p>
      <w:pPr>
        <w:pStyle w:val="Compact"/>
        <w:numPr>
          <w:ilvl w:val="0"/>
          <w:numId w:val="1011"/>
        </w:numPr>
      </w:pPr>
      <w:r>
        <w:rPr>
          <w:b/>
          <w:bCs/>
        </w:rPr>
        <w:t xml:space="preserve">Преподаватель</w:t>
      </w:r>
      <w:r>
        <w:t xml:space="preserve"> </w:t>
      </w:r>
      <w:r>
        <w:t xml:space="preserve">— формирует структуру дисциплины и банк вопросов, назначает задания группам, отслеживает успеваемость;</w:t>
      </w:r>
    </w:p>
    <w:p>
      <w:pPr>
        <w:pStyle w:val="Compact"/>
        <w:numPr>
          <w:ilvl w:val="0"/>
          <w:numId w:val="1011"/>
        </w:numPr>
      </w:pPr>
      <w:r>
        <w:rPr>
          <w:b/>
          <w:bCs/>
        </w:rPr>
        <w:t xml:space="preserve">Модератор</w:t>
      </w:r>
      <w:r>
        <w:t xml:space="preserve"> </w:t>
      </w:r>
      <w:r>
        <w:t xml:space="preserve">— сопровождает учебный процесс в рамках закреплённых групп: проверяет работы и модерирует материалы, но не управляет системными настройками платформы;</w:t>
      </w:r>
    </w:p>
    <w:p>
      <w:pPr>
        <w:pStyle w:val="Compact"/>
        <w:numPr>
          <w:ilvl w:val="0"/>
          <w:numId w:val="1011"/>
        </w:numPr>
      </w:pPr>
      <w:r>
        <w:rPr>
          <w:b/>
          <w:bCs/>
        </w:rPr>
        <w:t xml:space="preserve">Администратор</w:t>
      </w:r>
      <w:r>
        <w:t xml:space="preserve"> </w:t>
      </w:r>
      <w:r>
        <w:t xml:space="preserve">— управляет учётными записями, глобальными правами и состоянием инфраструктуры.</w:t>
      </w:r>
    </w:p>
    <w:p>
      <w:pPr>
        <w:pStyle w:val="FirstParagraph"/>
      </w:pPr>
      <w:r>
        <w:t xml:space="preserve">Интересы ролей частично конфликтуют: удобство (быстрый запуск среды, минимум ограничений) противопоставлено контролю (строгая изоляция, проверяемость действий, минимум привилегий). Задача проектирования состоит в том, чтобы разрешить этот конфликт архитектурно, а не организационными мерами.</w:t>
      </w:r>
    </w:p>
    <w:p>
      <w:pPr>
        <w:pStyle w:val="BodyText"/>
      </w:pPr>
      <w:r>
        <w:t xml:space="preserve">Типовые сценарии использования по ролям:</w:t>
      </w:r>
    </w:p>
    <w:p>
      <w:pPr>
        <w:pStyle w:val="BodyText"/>
      </w:pPr>
      <w:r>
        <w:rPr>
          <w:b/>
          <w:bCs/>
        </w:rPr>
        <w:t xml:space="preserve">Студент:</w:t>
      </w:r>
      <w:r>
        <w:t xml:space="preserve"> </w:t>
      </w:r>
      <w:r>
        <w:t xml:space="preserve">- доступ только к материалам, официально назначенным его группе;</w:t>
      </w:r>
      <w:r>
        <w:t xml:space="preserve"> </w:t>
      </w:r>
      <w:r>
        <w:t xml:space="preserve">- запуск лабораторной среды «в один клик»;</w:t>
      </w:r>
      <w:r>
        <w:t xml:space="preserve"> </w:t>
      </w:r>
      <w:r>
        <w:t xml:space="preserve">- получение обратной связи о состоянии ресурсов и результатах тестов.</w:t>
      </w:r>
    </w:p>
    <w:p>
      <w:pPr>
        <w:pStyle w:val="BodyText"/>
      </w:pPr>
      <w:r>
        <w:rPr>
          <w:b/>
          <w:bCs/>
        </w:rPr>
        <w:t xml:space="preserve">Преподаватель:</w:t>
      </w:r>
      <w:r>
        <w:t xml:space="preserve"> </w:t>
      </w:r>
      <w:r>
        <w:t xml:space="preserve">- формирование структуры курса и управление банком вопросов;</w:t>
      </w:r>
      <w:r>
        <w:t xml:space="preserve"> </w:t>
      </w:r>
      <w:r>
        <w:t xml:space="preserve">- мониторинг активности студентов и автоматизированное формирование отчётности по успеваемости;</w:t>
      </w:r>
      <w:r>
        <w:t xml:space="preserve"> </w:t>
      </w:r>
      <w:r>
        <w:t xml:space="preserve">- управление параметрами сложности лабораторных работ.</w:t>
      </w:r>
    </w:p>
    <w:p>
      <w:pPr>
        <w:pStyle w:val="BodyText"/>
      </w:pPr>
      <w:r>
        <w:rPr>
          <w:b/>
          <w:bCs/>
        </w:rPr>
        <w:t xml:space="preserve">Администратор:</w:t>
      </w:r>
      <w:r>
        <w:t xml:space="preserve"> </w:t>
      </w:r>
      <w:r>
        <w:t xml:space="preserve">- создание учётных записей и распределение глобальных прав;</w:t>
      </w:r>
      <w:r>
        <w:t xml:space="preserve"> </w:t>
      </w:r>
      <w:r>
        <w:t xml:space="preserve">- мониторинг состояния системы и внешних зависимостей (поставщик аутентификации, база данных, кластер Kubernetes).</w:t>
      </w:r>
    </w:p>
    <w:p>
      <w:pPr>
        <w:pStyle w:val="BodyText"/>
      </w:pPr>
      <w:r>
        <w:t xml:space="preserve">Связь основных сущностей платформы и ролей представлена на рисунке 2.1.</w:t>
      </w:r>
    </w:p>
    <w:p>
      <w:pPr>
        <w:pStyle w:val="BodyText"/>
        <w:keepNext/>
        <w:spacing w:before="120" w:after="60" w:line="240" w:lineRule="auto"/>
        <w:ind w:firstLine="0"/>
        <w:jc w:val="center"/>
      </w:pPr>
      <w:r>
        <w:drawing>
          <wp:inline>
            <wp:extent cx="5930900" cy="5039100"/>
            <wp:effectExtent b="0" l="0" r="0" t="0"/>
            <wp:docPr descr="Схема логических связей объектов платформы" title="" id="28" name="Picture"/>
            <a:graphic>
              <a:graphicData uri="http://schemas.openxmlformats.org/drawingml/2006/picture">
                <pic:pic>
                  <pic:nvPicPr>
                    <pic:cNvPr descr="./figures/domain-entities.png" id="29" name="Picture"/>
                    <pic:cNvPicPr>
                      <a:picLocks noChangeArrowheads="1" noChangeAspect="1"/>
                    </pic:cNvPicPr>
                  </pic:nvPicPr>
                  <pic:blipFill>
                    <a:blip r:embed="rId27"/>
                    <a:stretch>
                      <a:fillRect/>
                    </a:stretch>
                  </pic:blipFill>
                  <pic:spPr bwMode="auto">
                    <a:xfrm>
                      <a:off x="0" y="0"/>
                      <a:ext cx="5930900" cy="5039100"/>
                    </a:xfrm>
                    <a:prstGeom prst="rect">
                      <a:avLst/>
                    </a:prstGeom>
                    <a:noFill/>
                    <a:ln w="9525">
                      <a:noFill/>
                      <a:headEnd/>
                      <a:tailEnd/>
                    </a:ln>
                  </pic:spPr>
                </pic:pic>
              </a:graphicData>
            </a:graphic>
          </wp:inline>
        </w:drawing>
      </w:r>
      <w:r>
        <w:t xml:space="preserve"> </w:t>
      </w:r>
      <w:r>
        <w:t xml:space="preserve">Рисунок 2.1 — Схема логических связей объектов платформы</w:t>
      </w:r>
    </w:p>
    <w:bookmarkEnd w:id="30"/>
    <w:bookmarkStart w:id="31" w:name="нормативная-база"/>
    <w:p>
      <w:pPr>
        <w:pStyle w:val="2"/>
      </w:pPr>
      <w:r>
        <w:t xml:space="preserve">2.2. Нормативная база</w:t>
      </w:r>
    </w:p>
    <w:p>
      <w:pPr>
        <w:pStyle w:val="FirstParagraph"/>
      </w:pPr>
      <w:r>
        <w:t xml:space="preserve">Требования к серверной части формируются не только из пользовательских сценариев, но и из действующей нормативной базы в области защиты информации. Платформа представляет собой информационную систему образовательной организации, обрабатывающую защищаемую информацию — учебные материалы, банк вопросов, результаты прохождения тестов и сведения об успеваемости, а также учётные данные пользователей. Нарушение целостности, доступности или конфиденциальности этой информации (искажение оценок, подмена материалов, несанкционированный доступ к заданиям и эталонным ответам) напрямую снижает качество и достоверность образовательного процесса, что и определяет необходимость её защиты.</w:t>
      </w:r>
    </w:p>
    <w:p>
      <w:pPr>
        <w:pStyle w:val="BodyText"/>
      </w:pPr>
      <w:r>
        <w:t xml:space="preserve">Базовые обязанности по защите информации устанавливает Федеральный закон «Об информации, информационных технологиях и о защите информации» [1]: он относит к защищаемой информацию ограниченного доступа и предписывает принятие правовых, организационных и технических мер для обеспечения её целостности, доступности и конфиденциальности, а также для защиты от неправомерного доступа и модификации.</w:t>
      </w:r>
    </w:p>
    <w:p>
      <w:pPr>
        <w:pStyle w:val="BodyText"/>
      </w:pPr>
      <w:r>
        <w:t xml:space="preserve">Состав организационных и технических мер защиты задаётся требованиями ФСТЭК России. Приказ № 17 [6], устанавливающий требования к защите информации, не составляющей государственную тайну, используется как методическая основа выбора и систематизации мер защиты. Из предусмотренных групп мер для серверной части наиболее существенны идентификация и аутентификация субъектов доступа, управление доступом (разграничение прав), регистрация событий безопасности (аудит) и обеспечение целостности информации.</w:t>
      </w:r>
    </w:p>
    <w:p>
      <w:pPr>
        <w:pStyle w:val="BodyText"/>
      </w:pPr>
      <w:r>
        <w:t xml:space="preserve">При создании автоматизированной системы в защищённом исполнении учитываются положения ГОСТ Р 51583 [3]; организация процессов управления информационной безопасностью опирается на ГОСТ Р ИСО/МЭК 27001 [4]; поскольку разрабатывается программное обеспечение, обрабатывающее защищаемую информацию, применимы рекомендации ГОСТ Р 58412 по разработке безопасного ПО [5]. Перечисленные нормативные положения далее конкретизируются в функциональных и нефункциональных требованиях к серверной части.</w:t>
      </w:r>
    </w:p>
    <w:bookmarkEnd w:id="31"/>
    <w:bookmarkStart w:id="32" w:name="функциональные-требования"/>
    <w:p>
      <w:pPr>
        <w:pStyle w:val="2"/>
      </w:pPr>
      <w:r>
        <w:t xml:space="preserve">2.3. Функциональные требования</w:t>
      </w:r>
    </w:p>
    <w:p>
      <w:pPr>
        <w:pStyle w:val="FirstParagraph"/>
      </w:pPr>
      <w:r>
        <w:t xml:space="preserve">На основании анализа ролей и сценариев использования (подраздел 2.1), а также нормативных требований (подраздел 2.2) сформулированы ключевые функциональные требования (ФТ) к серверной части. Требования формулируются применительно к серверной части: операции с вычислительной инфраструктурой рассматриваются в той части, которую серверная часть инициирует и контролирует, тогда как их низкоуровневое исполнение относится к инфраструктурному контуру.</w:t>
      </w:r>
    </w:p>
    <w:p>
      <w:pPr>
        <w:pStyle w:val="Compact"/>
        <w:numPr>
          <w:ilvl w:val="0"/>
          <w:numId w:val="1012"/>
        </w:numPr>
      </w:pPr>
      <w:r>
        <w:rPr>
          <w:b/>
          <w:bCs/>
        </w:rPr>
        <w:t xml:space="preserve">ФТ-1.</w:t>
      </w:r>
      <w:r>
        <w:t xml:space="preserve"> </w:t>
      </w:r>
      <w:r>
        <w:t xml:space="preserve">Аутентификация пользователей через внешнего поставщика аутентификации и авторизация по ролям «студент», «преподаватель», «модератор», «администратор».</w:t>
      </w:r>
    </w:p>
    <w:p>
      <w:pPr>
        <w:pStyle w:val="Compact"/>
        <w:numPr>
          <w:ilvl w:val="0"/>
          <w:numId w:val="1012"/>
        </w:numPr>
      </w:pPr>
      <w:r>
        <w:rPr>
          <w:b/>
          <w:bCs/>
        </w:rPr>
        <w:t xml:space="preserve">ФТ-2.</w:t>
      </w:r>
      <w:r>
        <w:t xml:space="preserve"> </w:t>
      </w:r>
      <w:r>
        <w:t xml:space="preserve">Управление учебными сущностями: курсами, темами (дисциплинами), банком вопросов и назначением материалов учебным группам.</w:t>
      </w:r>
    </w:p>
    <w:p>
      <w:pPr>
        <w:pStyle w:val="Compact"/>
        <w:numPr>
          <w:ilvl w:val="0"/>
          <w:numId w:val="1012"/>
        </w:numPr>
      </w:pPr>
      <w:r>
        <w:rPr>
          <w:b/>
          <w:bCs/>
        </w:rPr>
        <w:t xml:space="preserve">ФТ-3.</w:t>
      </w:r>
      <w:r>
        <w:t xml:space="preserve"> </w:t>
      </w:r>
      <w:r>
        <w:t xml:space="preserve">Постановка серверной частью задач на запуск и остановку изолированных лабораторных сред по запросу пользователя с последующим контролем их статуса.</w:t>
      </w:r>
    </w:p>
    <w:p>
      <w:pPr>
        <w:pStyle w:val="Compact"/>
        <w:numPr>
          <w:ilvl w:val="0"/>
          <w:numId w:val="1012"/>
        </w:numPr>
      </w:pPr>
      <w:r>
        <w:rPr>
          <w:b/>
          <w:bCs/>
        </w:rPr>
        <w:t xml:space="preserve">ФТ-4.</w:t>
      </w:r>
      <w:r>
        <w:t xml:space="preserve"> </w:t>
      </w:r>
      <w:r>
        <w:t xml:space="preserve">Передача инфраструктурному слою параметров изоляции лабораторной сессии (выделенное пространство имён, сетевые политики) и фиксация результата на стороне серверной части.</w:t>
      </w:r>
    </w:p>
    <w:p>
      <w:pPr>
        <w:pStyle w:val="Compact"/>
        <w:numPr>
          <w:ilvl w:val="0"/>
          <w:numId w:val="1012"/>
        </w:numPr>
      </w:pPr>
      <w:r>
        <w:rPr>
          <w:b/>
          <w:bCs/>
        </w:rPr>
        <w:t xml:space="preserve">ФТ-5.</w:t>
      </w:r>
      <w:r>
        <w:t xml:space="preserve"> </w:t>
      </w:r>
      <w:r>
        <w:t xml:space="preserve">Разграничение доступа к ресурсам на основе ролей и атрибутов (сочетание моделей RBAC и ABAC).</w:t>
      </w:r>
    </w:p>
    <w:p>
      <w:pPr>
        <w:pStyle w:val="Compact"/>
        <w:numPr>
          <w:ilvl w:val="0"/>
          <w:numId w:val="1012"/>
        </w:numPr>
      </w:pPr>
      <w:r>
        <w:rPr>
          <w:b/>
          <w:bCs/>
        </w:rPr>
        <w:t xml:space="preserve">ФТ-6.</w:t>
      </w:r>
      <w:r>
        <w:t xml:space="preserve"> </w:t>
      </w:r>
      <w:r>
        <w:t xml:space="preserve">Централизованный аудит операций управления и доступа с фиксацией субъекта, времени и типа действия.</w:t>
      </w:r>
    </w:p>
    <w:p>
      <w:pPr>
        <w:pStyle w:val="Compact"/>
        <w:numPr>
          <w:ilvl w:val="0"/>
          <w:numId w:val="1012"/>
        </w:numPr>
      </w:pPr>
      <w:r>
        <w:rPr>
          <w:b/>
          <w:bCs/>
        </w:rPr>
        <w:t xml:space="preserve">ФТ-7.</w:t>
      </w:r>
      <w:r>
        <w:t xml:space="preserve"> </w:t>
      </w:r>
      <w:r>
        <w:t xml:space="preserve">Предоставление клиентской части программного интерфейса (API) и набора эффективных прав пользователя для управления отображением элементов.</w:t>
      </w:r>
    </w:p>
    <w:p>
      <w:pPr>
        <w:pStyle w:val="FirstParagraph"/>
      </w:pPr>
      <w:r>
        <w:t xml:space="preserve">Перечисленные требования определяют состав серверных модулей: модуль аутентификации и сессий (ФТ-1, ФТ-7), модуль управления учебными материалами (ФТ-2), контроллер постановки инфраструктурных задач (ФТ-3, ФТ-4), подсистему разграничения доступа (ФТ-5) и подсистему аудита (ФТ-6). Проектирование этих модулей рассматривается в главе 3.</w:t>
      </w:r>
    </w:p>
    <w:bookmarkEnd w:id="32"/>
    <w:bookmarkStart w:id="33" w:name="нефункциональные-требования"/>
    <w:p>
      <w:pPr>
        <w:pStyle w:val="2"/>
      </w:pPr>
      <w:r>
        <w:t xml:space="preserve">2.4. Нефункциональные требования</w:t>
      </w:r>
    </w:p>
    <w:p>
      <w:pPr>
        <w:pStyle w:val="FirstParagraph"/>
      </w:pPr>
      <w:r>
        <w:t xml:space="preserve">Нефункциональные требования (НФТ) сформулированы в измеримой форме как проектные критерии приёмки серверной части.</w:t>
      </w:r>
    </w:p>
    <w:p>
      <w:pPr>
        <w:pStyle w:val="Compact"/>
        <w:numPr>
          <w:ilvl w:val="0"/>
          <w:numId w:val="1013"/>
        </w:numPr>
      </w:pPr>
      <w:r>
        <w:rPr>
          <w:b/>
          <w:bCs/>
        </w:rPr>
        <w:t xml:space="preserve">НФТ-1 (производительность).</w:t>
      </w:r>
      <w:r>
        <w:t xml:space="preserve"> </w:t>
      </w:r>
      <w:r>
        <w:t xml:space="preserve">Медианное время ответа API при штатной нагрузке не превышает 250 мс; накладные расходы серверной части на постановку инфраструктурной задачи — не более 150 мс.</w:t>
      </w:r>
    </w:p>
    <w:p>
      <w:pPr>
        <w:pStyle w:val="Compact"/>
        <w:numPr>
          <w:ilvl w:val="0"/>
          <w:numId w:val="1013"/>
        </w:numPr>
      </w:pPr>
      <w:r>
        <w:rPr>
          <w:b/>
          <w:bCs/>
        </w:rPr>
        <w:t xml:space="preserve">НФТ-2 (масштабируемость).</w:t>
      </w:r>
      <w:r>
        <w:t xml:space="preserve"> </w:t>
      </w:r>
      <w:r>
        <w:t xml:space="preserve">Поддержка не менее 100 одновременных пользователей на один экземпляр управления без отказов; архитектура допускает горизонтальное масштабирование сервисов.</w:t>
      </w:r>
    </w:p>
    <w:p>
      <w:pPr>
        <w:pStyle w:val="Compact"/>
        <w:numPr>
          <w:ilvl w:val="0"/>
          <w:numId w:val="1013"/>
        </w:numPr>
      </w:pPr>
      <w:r>
        <w:rPr>
          <w:b/>
          <w:bCs/>
        </w:rPr>
        <w:t xml:space="preserve">НФТ-3 (изоляция и безопасность).</w:t>
      </w:r>
      <w:r>
        <w:t xml:space="preserve"> </w:t>
      </w:r>
      <w:r>
        <w:t xml:space="preserve">Проверка прав доступа выполняется на стороне сервера для каждого вызова API (конструктивная безопасность); серверная часть не допускает обращений к ресурсам в обход подсистемы разграничения доступа.</w:t>
      </w:r>
    </w:p>
    <w:p>
      <w:pPr>
        <w:pStyle w:val="Compact"/>
        <w:numPr>
          <w:ilvl w:val="0"/>
          <w:numId w:val="1013"/>
        </w:numPr>
      </w:pPr>
      <w:r>
        <w:rPr>
          <w:b/>
          <w:bCs/>
        </w:rPr>
        <w:t xml:space="preserve">НФТ-4 (отказоустойчивость).</w:t>
      </w:r>
      <w:r>
        <w:t xml:space="preserve"> </w:t>
      </w:r>
      <w:r>
        <w:t xml:space="preserve">Сбой отдельного сервиса (например, модуля тестирования) не приводит к потере управляемости платформой и не останавливает уже запущенные лабораторные среды.</w:t>
      </w:r>
    </w:p>
    <w:p>
      <w:pPr>
        <w:pStyle w:val="Compact"/>
        <w:numPr>
          <w:ilvl w:val="0"/>
          <w:numId w:val="1013"/>
        </w:numPr>
      </w:pPr>
      <w:r>
        <w:rPr>
          <w:b/>
          <w:bCs/>
        </w:rPr>
        <w:t xml:space="preserve">НФТ-5 (наблюдаемость и аудит).</w:t>
      </w:r>
      <w:r>
        <w:t xml:space="preserve"> </w:t>
      </w:r>
      <w:r>
        <w:t xml:space="preserve">Все критичные действия фиксируются в журнале с указанием субъекта, времени и типа операции; доступны метрики для выявления аномального поведения.</w:t>
      </w:r>
    </w:p>
    <w:p>
      <w:pPr>
        <w:pStyle w:val="Compact"/>
        <w:numPr>
          <w:ilvl w:val="0"/>
          <w:numId w:val="1013"/>
        </w:numPr>
      </w:pPr>
      <w:r>
        <w:rPr>
          <w:b/>
          <w:bCs/>
        </w:rPr>
        <w:t xml:space="preserve">НФТ-6 (соответствие требованиям защиты).</w:t>
      </w:r>
      <w:r>
        <w:t xml:space="preserve"> </w:t>
      </w:r>
      <w:r>
        <w:t xml:space="preserve">Реализация мер идентификации, разграничения доступа и регистрации событий согласуется с требованиями ФСТЭК [6]; при проектировании контейнерной среды учитываются рекомендации NIST SP 800-190 [15] и SP 800-204 [16].</w:t>
      </w:r>
    </w:p>
    <w:bookmarkEnd w:id="33"/>
    <w:bookmarkStart w:id="34" w:name="модель-угроз"/>
    <w:p>
      <w:pPr>
        <w:pStyle w:val="2"/>
      </w:pPr>
      <w:r>
        <w:t xml:space="preserve">2.5. Модель угроз</w:t>
      </w:r>
    </w:p>
    <w:p>
      <w:pPr>
        <w:pStyle w:val="FirstParagraph"/>
      </w:pPr>
      <w:r>
        <w:t xml:space="preserve">Специфика лабораторного комплекса по ИБ заключается в том, что система сознательно провоцирует пользователя на агрессивные действия в рамках выполнения заданий, поэтому граница между «учебным действием» и «атакой на платформу» оказывается размытой. Моделирование угроз выполнено в соответствии с Методикой оценки угроз безопасности информации ФСТЭК России [7]. В соответствии с методикой определены негативные последствия (нарушение конфиденциальности заданий и эталонных ответов, целостности оценок и учебных материалов, доступности платформы), объекты воздействия со стороны серверной части (программный интерфейс, серверные сессии и токены, база данных, подсистема разграничения доступа, очередь задач) и источники угроз — нарушители.</w:t>
      </w:r>
    </w:p>
    <w:p>
      <w:pPr>
        <w:pStyle w:val="BodyText"/>
      </w:pPr>
      <w:r>
        <w:t xml:space="preserve">В качестве актуальных рассматриваются внутренние нарушители с низким потенциалом — обучающиеся, обладающие легитимным доступом к платформе и к инструментам лабораторных работ. Внешние нарушители с высоким потенциалом в базовой модели не рассматриваются, поскольку платформа развёртывается в контролируемом контуре образовательной организации. Перечень актуальных угроз серверной части сформирован с опорой на Банк данных угроз безопасности информации ФСТЭК России (БДУ) [8] и приведён в таблице 2.1.</w:t>
      </w:r>
    </w:p>
    <w:p>
      <w:pPr>
        <w:pStyle w:val="BodyText"/>
        <w:keepNext/>
        <w:spacing w:before="240" w:after="60" w:line="240" w:lineRule="auto"/>
        <w:ind w:firstLine="0"/>
        <w:jc w:val="start"/>
      </w:pPr>
      <w:r>
        <w:rPr>
          <w:sz w:val="24"/>
          <w:szCs w:val="24"/>
        </w:rPr>
        <w:t xml:space="preserve">Таблица 2.1 — Актуальные угрозы безопасности серверной части и контрмеры</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Угроза</w:t>
            </w:r>
          </w:p>
        </w:tc>
        <w:tc>
          <w:tcPr/>
          <w:p>
            <w:pPr>
              <w:pStyle w:val="Compact"/>
              <w:keepNext/>
              <w:spacing w:before="0" w:after="0" w:line="240" w:lineRule="auto"/>
              <w:jc w:val="left"/>
              <w:ind w:firstLine="0"/>
            </w:pPr>
            <w:r>
              <w:rPr>
                <w:sz w:val="24"/>
                <w:szCs w:val="24"/>
              </w:rPr>
              <w:t xml:space="preserve">Объект воздействия</w:t>
            </w:r>
          </w:p>
        </w:tc>
        <w:tc>
          <w:tcPr/>
          <w:p>
            <w:pPr>
              <w:pStyle w:val="Compact"/>
              <w:keepNext/>
              <w:spacing w:before="0" w:after="0" w:line="240" w:lineRule="auto"/>
              <w:jc w:val="left"/>
              <w:ind w:firstLine="0"/>
            </w:pPr>
            <w:r>
              <w:rPr>
                <w:sz w:val="24"/>
                <w:szCs w:val="24"/>
              </w:rPr>
              <w:t xml:space="preserve">Способ реализации</w:t>
            </w:r>
          </w:p>
        </w:tc>
        <w:tc>
          <w:tcPr/>
          <w:p>
            <w:pPr>
              <w:pStyle w:val="Compact"/>
              <w:keepNext/>
              <w:spacing w:before="0" w:after="0" w:line="240" w:lineRule="auto"/>
              <w:jc w:val="left"/>
              <w:ind w:firstLine="0"/>
            </w:pPr>
            <w:r>
              <w:rPr>
                <w:sz w:val="24"/>
                <w:szCs w:val="24"/>
              </w:rPr>
              <w:t xml:space="preserve">Контрмера серверной части</w:t>
            </w:r>
          </w:p>
        </w:tc>
      </w:tr>
      <w:tr>
        <w:trPr>
          <w:cantSplit/>
        </w:trPr>
        <w:tc>
          <w:tcPr/>
          <w:p>
            <w:pPr>
              <w:pStyle w:val="Compact"/>
              <w:keepNext/>
              <w:spacing w:before="0" w:after="0" w:line="240" w:lineRule="auto"/>
              <w:jc w:val="left"/>
              <w:ind w:firstLine="0"/>
            </w:pPr>
            <w:r>
              <w:rPr>
                <w:sz w:val="24"/>
                <w:szCs w:val="24"/>
              </w:rPr>
              <w:t xml:space="preserve">Доступ под чужой личностью</w:t>
            </w:r>
          </w:p>
        </w:tc>
        <w:tc>
          <w:tcPr/>
          <w:p>
            <w:pPr>
              <w:pStyle w:val="Compact"/>
              <w:keepNext/>
              <w:spacing w:before="0" w:after="0" w:line="240" w:lineRule="auto"/>
              <w:jc w:val="left"/>
              <w:ind w:firstLine="0"/>
            </w:pPr>
            <w:r>
              <w:rPr>
                <w:sz w:val="24"/>
                <w:szCs w:val="24"/>
              </w:rPr>
              <w:t xml:space="preserve">Серверная сессия, токены</w:t>
            </w:r>
          </w:p>
        </w:tc>
        <w:tc>
          <w:tcPr/>
          <w:p>
            <w:pPr>
              <w:pStyle w:val="Compact"/>
              <w:keepNext/>
              <w:spacing w:before="0" w:after="0" w:line="240" w:lineRule="auto"/>
              <w:jc w:val="left"/>
              <w:ind w:firstLine="0"/>
            </w:pPr>
            <w:r>
              <w:rPr>
                <w:sz w:val="24"/>
                <w:szCs w:val="24"/>
              </w:rPr>
              <w:t xml:space="preserve">Перехват или подделка токена доступа</w:t>
            </w:r>
          </w:p>
        </w:tc>
        <w:tc>
          <w:tcPr/>
          <w:p>
            <w:pPr>
              <w:pStyle w:val="Compact"/>
              <w:keepNext/>
              <w:spacing w:before="0" w:after="0" w:line="240" w:lineRule="auto"/>
              <w:jc w:val="left"/>
              <w:ind w:firstLine="0"/>
            </w:pPr>
            <w:r>
              <w:rPr>
                <w:sz w:val="24"/>
                <w:szCs w:val="24"/>
              </w:rPr>
              <w:t xml:space="preserve">Серверные сессии, cookie с признаком HttpOnly, валидация OIDC-токена (Keycloak), TLS, короткий срок жизни токена</w:t>
            </w:r>
          </w:p>
        </w:tc>
      </w:tr>
      <w:tr>
        <w:trPr>
          <w:cantSplit/>
        </w:trPr>
        <w:tc>
          <w:tcPr/>
          <w:p>
            <w:pPr>
              <w:pStyle w:val="Compact"/>
              <w:keepNext/>
              <w:spacing w:before="0" w:after="0" w:line="240" w:lineRule="auto"/>
              <w:jc w:val="left"/>
              <w:ind w:firstLine="0"/>
            </w:pPr>
            <w:r>
              <w:rPr>
                <w:sz w:val="24"/>
                <w:szCs w:val="24"/>
              </w:rPr>
              <w:t xml:space="preserve">Несанкционированное изменение защищаемой информации</w:t>
            </w:r>
          </w:p>
        </w:tc>
        <w:tc>
          <w:tcPr/>
          <w:p>
            <w:pPr>
              <w:pStyle w:val="Compact"/>
              <w:keepNext/>
              <w:spacing w:before="0" w:after="0" w:line="240" w:lineRule="auto"/>
              <w:jc w:val="left"/>
              <w:ind w:firstLine="0"/>
            </w:pPr>
            <w:r>
              <w:rPr>
                <w:sz w:val="24"/>
                <w:szCs w:val="24"/>
              </w:rPr>
              <w:t xml:space="preserve">Оценки, учебные материалы</w:t>
            </w:r>
          </w:p>
        </w:tc>
        <w:tc>
          <w:tcPr/>
          <w:p>
            <w:pPr>
              <w:pStyle w:val="Compact"/>
              <w:keepNext/>
              <w:spacing w:before="0" w:after="0" w:line="240" w:lineRule="auto"/>
              <w:jc w:val="left"/>
              <w:ind w:firstLine="0"/>
            </w:pPr>
            <w:r>
              <w:rPr>
                <w:sz w:val="24"/>
                <w:szCs w:val="24"/>
              </w:rPr>
              <w:t xml:space="preserve">Обращение к API в обход прав</w:t>
            </w:r>
          </w:p>
        </w:tc>
        <w:tc>
          <w:tcPr/>
          <w:p>
            <w:pPr>
              <w:pStyle w:val="Compact"/>
              <w:keepNext/>
              <w:spacing w:before="0" w:after="0" w:line="240" w:lineRule="auto"/>
              <w:jc w:val="left"/>
              <w:ind w:firstLine="0"/>
            </w:pPr>
            <w:r>
              <w:rPr>
                <w:sz w:val="24"/>
                <w:szCs w:val="24"/>
              </w:rPr>
              <w:t xml:space="preserve">Серверная проверка прав (ABAC) на каждый вызов, валидация входных данных</w:t>
            </w:r>
          </w:p>
        </w:tc>
      </w:tr>
      <w:tr>
        <w:trPr>
          <w:cantSplit/>
        </w:trPr>
        <w:tc>
          <w:tcPr/>
          <w:p>
            <w:pPr>
              <w:pStyle w:val="Compact"/>
              <w:keepNext/>
              <w:spacing w:before="0" w:after="0" w:line="240" w:lineRule="auto"/>
              <w:jc w:val="left"/>
              <w:ind w:firstLine="0"/>
            </w:pPr>
            <w:r>
              <w:rPr>
                <w:sz w:val="24"/>
                <w:szCs w:val="24"/>
              </w:rPr>
              <w:t xml:space="preserve">Отрицание совершённых действий</w:t>
            </w:r>
          </w:p>
        </w:tc>
        <w:tc>
          <w:tcPr/>
          <w:p>
            <w:pPr>
              <w:pStyle w:val="Compact"/>
              <w:keepNext/>
              <w:spacing w:before="0" w:after="0" w:line="240" w:lineRule="auto"/>
              <w:jc w:val="left"/>
              <w:ind w:firstLine="0"/>
            </w:pPr>
            <w:r>
              <w:rPr>
                <w:sz w:val="24"/>
                <w:szCs w:val="24"/>
              </w:rPr>
              <w:t xml:space="preserve">Журнал аудита</w:t>
            </w:r>
          </w:p>
        </w:tc>
        <w:tc>
          <w:tcPr/>
          <w:p>
            <w:pPr>
              <w:pStyle w:val="Compact"/>
              <w:keepNext/>
              <w:spacing w:before="0" w:after="0" w:line="240" w:lineRule="auto"/>
              <w:jc w:val="left"/>
              <w:ind w:firstLine="0"/>
            </w:pPr>
            <w:r>
              <w:rPr>
                <w:sz w:val="24"/>
                <w:szCs w:val="24"/>
              </w:rPr>
              <w:t xml:space="preserve">Отсутствие фиксации операций</w:t>
            </w:r>
          </w:p>
        </w:tc>
        <w:tc>
          <w:tcPr/>
          <w:p>
            <w:pPr>
              <w:pStyle w:val="Compact"/>
              <w:keepNext/>
              <w:spacing w:before="0" w:after="0" w:line="240" w:lineRule="auto"/>
              <w:jc w:val="left"/>
              <w:ind w:firstLine="0"/>
            </w:pPr>
            <w:r>
              <w:rPr>
                <w:sz w:val="24"/>
                <w:szCs w:val="24"/>
              </w:rPr>
              <w:t xml:space="preserve">Централизованный аудит с фиксацией субъекта, времени и типа операции</w:t>
            </w:r>
          </w:p>
        </w:tc>
      </w:tr>
      <w:tr>
        <w:trPr>
          <w:cantSplit/>
        </w:trPr>
        <w:tc>
          <w:tcPr/>
          <w:p>
            <w:pPr>
              <w:pStyle w:val="Compact"/>
              <w:keepNext/>
              <w:spacing w:before="0" w:after="0" w:line="240" w:lineRule="auto"/>
              <w:jc w:val="left"/>
              <w:ind w:firstLine="0"/>
            </w:pPr>
            <w:r>
              <w:rPr>
                <w:sz w:val="24"/>
                <w:szCs w:val="24"/>
              </w:rPr>
              <w:t xml:space="preserve">Доступ к данным другого обучающегося</w:t>
            </w:r>
          </w:p>
        </w:tc>
        <w:tc>
          <w:tcPr/>
          <w:p>
            <w:pPr>
              <w:pStyle w:val="Compact"/>
              <w:keepNext/>
              <w:spacing w:before="0" w:after="0" w:line="240" w:lineRule="auto"/>
              <w:jc w:val="left"/>
              <w:ind w:firstLine="0"/>
            </w:pPr>
            <w:r>
              <w:rPr>
                <w:sz w:val="24"/>
                <w:szCs w:val="24"/>
              </w:rPr>
              <w:t xml:space="preserve">Задания, ответы, файлы материалов</w:t>
            </w:r>
          </w:p>
        </w:tc>
        <w:tc>
          <w:tcPr/>
          <w:p>
            <w:pPr>
              <w:pStyle w:val="Compact"/>
              <w:keepNext/>
              <w:spacing w:before="0" w:after="0" w:line="240" w:lineRule="auto"/>
              <w:jc w:val="left"/>
              <w:ind w:firstLine="0"/>
            </w:pPr>
            <w:r>
              <w:rPr>
                <w:sz w:val="24"/>
                <w:szCs w:val="24"/>
              </w:rPr>
              <w:t xml:space="preserve">Прямое обращение к чужому ресурсу по идентификатору</w:t>
            </w:r>
          </w:p>
        </w:tc>
        <w:tc>
          <w:tcPr/>
          <w:p>
            <w:pPr>
              <w:pStyle w:val="Compact"/>
              <w:keepNext/>
              <w:spacing w:before="0" w:after="0" w:line="240" w:lineRule="auto"/>
              <w:jc w:val="left"/>
              <w:ind w:firstLine="0"/>
            </w:pPr>
            <w:r>
              <w:rPr>
                <w:sz w:val="24"/>
                <w:szCs w:val="24"/>
              </w:rPr>
              <w:t xml:space="preserve">Атрибутная проверка владения и назначения ресурса; авторизация доступа к файлам по связанному ресурсу, а не по пути в хранилище</w:t>
            </w:r>
          </w:p>
        </w:tc>
      </w:tr>
      <w:tr>
        <w:trPr>
          <w:cantSplit/>
        </w:trPr>
        <w:tc>
          <w:tcPr/>
          <w:p>
            <w:pPr>
              <w:pStyle w:val="Compact"/>
              <w:keepNext/>
              <w:spacing w:before="0" w:after="0" w:line="240" w:lineRule="auto"/>
              <w:jc w:val="left"/>
              <w:ind w:firstLine="0"/>
            </w:pPr>
            <w:r>
              <w:rPr>
                <w:sz w:val="24"/>
                <w:szCs w:val="24"/>
              </w:rPr>
              <w:t xml:space="preserve">Отказ в обслуживании</w:t>
            </w:r>
          </w:p>
        </w:tc>
        <w:tc>
          <w:tcPr/>
          <w:p>
            <w:pPr>
              <w:pStyle w:val="Compact"/>
              <w:keepNext/>
              <w:spacing w:before="0" w:after="0" w:line="240" w:lineRule="auto"/>
              <w:jc w:val="left"/>
              <w:ind w:firstLine="0"/>
            </w:pPr>
            <w:r>
              <w:rPr>
                <w:sz w:val="24"/>
                <w:szCs w:val="24"/>
              </w:rPr>
              <w:t xml:space="preserve">Программный интерфейс</w:t>
            </w:r>
          </w:p>
        </w:tc>
        <w:tc>
          <w:tcPr/>
          <w:p>
            <w:pPr>
              <w:pStyle w:val="Compact"/>
              <w:keepNext/>
              <w:spacing w:before="0" w:after="0" w:line="240" w:lineRule="auto"/>
              <w:jc w:val="left"/>
              <w:ind w:firstLine="0"/>
            </w:pPr>
            <w:r>
              <w:rPr>
                <w:sz w:val="24"/>
                <w:szCs w:val="24"/>
              </w:rPr>
              <w:t xml:space="preserve">Поток запросов или инициирование «тяжёлых» операций</w:t>
            </w:r>
          </w:p>
        </w:tc>
        <w:tc>
          <w:tcPr/>
          <w:p>
            <w:pPr>
              <w:pStyle w:val="Compact"/>
              <w:keepNext/>
              <w:spacing w:before="0" w:after="0" w:line="240" w:lineRule="auto"/>
              <w:jc w:val="left"/>
              <w:ind w:firstLine="0"/>
            </w:pPr>
            <w:r>
              <w:rPr>
                <w:sz w:val="24"/>
                <w:szCs w:val="24"/>
              </w:rPr>
              <w:t xml:space="preserve">Ограничение частоты запросов, вынос длительных операций в асинхронный контур, ресурсные квоты</w:t>
            </w:r>
          </w:p>
        </w:tc>
      </w:tr>
      <w:tr>
        <w:trPr>
          <w:cantSplit/>
        </w:trPr>
        <w:tc>
          <w:tcPr/>
          <w:p>
            <w:pPr>
              <w:pStyle w:val="Compact"/>
              <w:spacing w:before="0" w:after="0" w:line="240" w:lineRule="auto"/>
              <w:jc w:val="left"/>
              <w:ind w:firstLine="0"/>
            </w:pPr>
            <w:r>
              <w:rPr>
                <w:sz w:val="24"/>
                <w:szCs w:val="24"/>
              </w:rPr>
              <w:t xml:space="preserve">Повышение привилегий</w:t>
            </w:r>
          </w:p>
        </w:tc>
        <w:tc>
          <w:tcPr/>
          <w:p>
            <w:pPr>
              <w:pStyle w:val="Compact"/>
              <w:spacing w:before="0" w:after="0" w:line="240" w:lineRule="auto"/>
              <w:jc w:val="left"/>
              <w:ind w:firstLine="0"/>
            </w:pPr>
            <w:r>
              <w:rPr>
                <w:sz w:val="24"/>
                <w:szCs w:val="24"/>
              </w:rPr>
              <w:t xml:space="preserve">Подсистема разграничения доступа</w:t>
            </w:r>
          </w:p>
        </w:tc>
        <w:tc>
          <w:tcPr/>
          <w:p>
            <w:pPr>
              <w:pStyle w:val="Compact"/>
              <w:spacing w:before="0" w:after="0" w:line="240" w:lineRule="auto"/>
              <w:jc w:val="left"/>
              <w:ind w:firstLine="0"/>
            </w:pPr>
            <w:r>
              <w:rPr>
                <w:sz w:val="24"/>
                <w:szCs w:val="24"/>
              </w:rPr>
              <w:t xml:space="preserve">Эскалация прав через дефект политики</w:t>
            </w:r>
          </w:p>
        </w:tc>
        <w:tc>
          <w:tcPr/>
          <w:p>
            <w:pPr>
              <w:pStyle w:val="Compact"/>
              <w:spacing w:before="0" w:after="0" w:line="240" w:lineRule="auto"/>
              <w:jc w:val="left"/>
              <w:ind w:firstLine="0"/>
            </w:pPr>
            <w:r>
              <w:rPr>
                <w:sz w:val="24"/>
                <w:szCs w:val="24"/>
              </w:rPr>
              <w:t xml:space="preserve">Принцип наименьших привилегий, неизменяемость системных ролей, серверная проверка полномочий для каждой операции</w:t>
            </w:r>
          </w:p>
        </w:tc>
      </w:tr>
    </w:tbl>
    <w:p>
      <w:pPr>
        <w:pStyle w:val="BodyText"/>
      </w:pPr>
      <w:r>
        <w:t xml:space="preserve">Наиболее критичными для серверной части признаны несанкционированный доступ к данным другого обучающегося, отказ в обслуживании программного интерфейса и повышение привилегий. Угрозы уровня изоляции вычислительных сред (выход за пределы контейнера, сетевое перемещение между средами разных обучающихся) относятся к инфраструктурному контуру и рассматриваются в составе его модели угроз. Для системного противодействия угрозам серверной части в работе принят кибериммунный подход (подраздел 1.4), реализуемый через разделение доменов безопасности и минимизацию доверенной вычислительной базы.</w:t>
      </w:r>
    </w:p>
    <w:bookmarkEnd w:id="34"/>
    <w:bookmarkStart w:id="35" w:name="критерии-выбора-архитектуры"/>
    <w:p>
      <w:pPr>
        <w:pStyle w:val="2"/>
      </w:pPr>
      <w:r>
        <w:t xml:space="preserve">2.6. Критерии выбора архитектуры</w:t>
      </w:r>
    </w:p>
    <w:p>
      <w:pPr>
        <w:pStyle w:val="FirstParagraph"/>
      </w:pPr>
      <w:r>
        <w:t xml:space="preserve">Выбор архитектуры серверной части не является исключительно технической задачей: он определяется сформулированными выше требованиями (подразделы 2.3, 2.4). Из них вытекают ключевые критерии оценки рассмотренных в подразделе 1.3 архитектурных подходов:</w:t>
      </w:r>
    </w:p>
    <w:p>
      <w:pPr>
        <w:pStyle w:val="Compact"/>
        <w:numPr>
          <w:ilvl w:val="0"/>
          <w:numId w:val="1014"/>
        </w:numPr>
      </w:pPr>
      <w:r>
        <w:rPr>
          <w:b/>
          <w:bCs/>
        </w:rPr>
        <w:t xml:space="preserve">Контролируемость границ доверия</w:t>
      </w:r>
      <w:r>
        <w:t xml:space="preserve"> </w:t>
      </w:r>
      <w:r>
        <w:t xml:space="preserve">(НФТ-3) — чёткое определение прав и зоны ответственности каждого компонента, возможность локализовать компрометацию.</w:t>
      </w:r>
    </w:p>
    <w:p>
      <w:pPr>
        <w:pStyle w:val="Compact"/>
        <w:numPr>
          <w:ilvl w:val="0"/>
          <w:numId w:val="1014"/>
        </w:numPr>
      </w:pPr>
      <w:r>
        <w:rPr>
          <w:b/>
          <w:bCs/>
        </w:rPr>
        <w:t xml:space="preserve">Масштабируемость фоновых операций</w:t>
      </w:r>
      <w:r>
        <w:t xml:space="preserve"> </w:t>
      </w:r>
      <w:r>
        <w:t xml:space="preserve">(НФТ-2) — вынос создания лабораторных сред в асинхронный контур без деградации интерфейса.</w:t>
      </w:r>
    </w:p>
    <w:p>
      <w:pPr>
        <w:pStyle w:val="Compact"/>
        <w:numPr>
          <w:ilvl w:val="0"/>
          <w:numId w:val="1014"/>
        </w:numPr>
      </w:pPr>
      <w:r>
        <w:rPr>
          <w:b/>
          <w:bCs/>
        </w:rPr>
        <w:t xml:space="preserve">Независимость развития подсистем</w:t>
      </w:r>
      <w:r>
        <w:t xml:space="preserve"> </w:t>
      </w:r>
      <w:r>
        <w:t xml:space="preserve">(НФТ-4) — обновление модулей без остановки всей платформы и без влияния на запущенные среды.</w:t>
      </w:r>
    </w:p>
    <w:p>
      <w:pPr>
        <w:pStyle w:val="Compact"/>
        <w:numPr>
          <w:ilvl w:val="0"/>
          <w:numId w:val="1014"/>
        </w:numPr>
      </w:pPr>
      <w:r>
        <w:rPr>
          <w:b/>
          <w:bCs/>
        </w:rPr>
        <w:t xml:space="preserve">Прозрачность контрактов API</w:t>
      </w:r>
      <w:r>
        <w:t xml:space="preserve"> </w:t>
      </w:r>
      <w:r>
        <w:t xml:space="preserve">(ФТ-7) — строгое соответствие между клиентской и серверной частями.</w:t>
      </w:r>
    </w:p>
    <w:bookmarkEnd w:id="35"/>
    <w:bookmarkStart w:id="36" w:name="сравнение-подходов-и-выбор"/>
    <w:p>
      <w:pPr>
        <w:pStyle w:val="2"/>
      </w:pPr>
      <w:r>
        <w:t xml:space="preserve">2.7. Сравнение подходов и выбор</w:t>
      </w:r>
    </w:p>
    <w:p>
      <w:pPr>
        <w:pStyle w:val="FirstParagraph"/>
      </w:pPr>
      <w:r>
        <w:t xml:space="preserve">Сравнение архитектурных подходов по выделенным критериям приведено в таблице 2.2.</w:t>
      </w:r>
    </w:p>
    <w:p>
      <w:pPr>
        <w:pStyle w:val="BodyText"/>
        <w:keepNext/>
        <w:spacing w:before="240" w:after="60" w:line="240" w:lineRule="auto"/>
        <w:ind w:firstLine="0"/>
        <w:jc w:val="start"/>
      </w:pPr>
      <w:r>
        <w:rPr>
          <w:sz w:val="24"/>
          <w:szCs w:val="24"/>
        </w:rPr>
        <w:t xml:space="preserve">Таблица 2.2 — Сравнительный анализ архитектурных подходов</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Подход</w:t>
            </w:r>
          </w:p>
        </w:tc>
        <w:tc>
          <w:tcPr/>
          <w:p>
            <w:pPr>
              <w:pStyle w:val="Compact"/>
              <w:keepNext/>
              <w:spacing w:before="0" w:after="0" w:line="240" w:lineRule="auto"/>
              <w:jc w:val="left"/>
              <w:ind w:firstLine="0"/>
            </w:pPr>
            <w:r>
              <w:rPr>
                <w:sz w:val="24"/>
                <w:szCs w:val="24"/>
              </w:rPr>
              <w:t xml:space="preserve">Достоинства</w:t>
            </w:r>
          </w:p>
        </w:tc>
        <w:tc>
          <w:tcPr/>
          <w:p>
            <w:pPr>
              <w:pStyle w:val="Compact"/>
              <w:keepNext/>
              <w:spacing w:before="0" w:after="0" w:line="240" w:lineRule="auto"/>
              <w:jc w:val="left"/>
              <w:ind w:firstLine="0"/>
            </w:pPr>
            <w:r>
              <w:rPr>
                <w:sz w:val="24"/>
                <w:szCs w:val="24"/>
              </w:rPr>
              <w:t xml:space="preserve">Недостатки</w:t>
            </w:r>
          </w:p>
        </w:tc>
        <w:tc>
          <w:tcPr/>
          <w:p>
            <w:pPr>
              <w:pStyle w:val="Compact"/>
              <w:keepNext/>
              <w:spacing w:before="0" w:after="0" w:line="240" w:lineRule="auto"/>
              <w:jc w:val="left"/>
              <w:ind w:firstLine="0"/>
            </w:pPr>
            <w:r>
              <w:rPr>
                <w:sz w:val="24"/>
                <w:szCs w:val="24"/>
              </w:rPr>
              <w:t xml:space="preserve">Применимость к проектируемой платформе</w:t>
            </w:r>
          </w:p>
        </w:tc>
      </w:tr>
      <w:tr>
        <w:trPr>
          <w:cantSplit/>
        </w:trPr>
        <w:tc>
          <w:tcPr/>
          <w:p>
            <w:pPr>
              <w:pStyle w:val="Compact"/>
              <w:keepNext/>
              <w:spacing w:before="0" w:after="0" w:line="240" w:lineRule="auto"/>
              <w:jc w:val="left"/>
              <w:ind w:firstLine="0"/>
            </w:pPr>
            <w:r>
              <w:rPr>
                <w:b/>
                <w:bCs/>
                <w:sz w:val="24"/>
                <w:szCs w:val="24"/>
              </w:rPr>
              <w:t xml:space="preserve">Монолит</w:t>
            </w:r>
          </w:p>
        </w:tc>
        <w:tc>
          <w:tcPr/>
          <w:p>
            <w:pPr>
              <w:pStyle w:val="Compact"/>
              <w:keepNext/>
              <w:spacing w:before="0" w:after="0" w:line="240" w:lineRule="auto"/>
              <w:jc w:val="left"/>
              <w:ind w:firstLine="0"/>
            </w:pPr>
            <w:r>
              <w:rPr>
                <w:sz w:val="24"/>
                <w:szCs w:val="24"/>
              </w:rPr>
              <w:t xml:space="preserve">Простота развёртывания, единая транзакционная модель</w:t>
            </w:r>
          </w:p>
        </w:tc>
        <w:tc>
          <w:tcPr/>
          <w:p>
            <w:pPr>
              <w:pStyle w:val="Compact"/>
              <w:keepNext/>
              <w:spacing w:before="0" w:after="0" w:line="240" w:lineRule="auto"/>
              <w:jc w:val="left"/>
              <w:ind w:firstLine="0"/>
            </w:pPr>
            <w:r>
              <w:rPr>
                <w:sz w:val="24"/>
                <w:szCs w:val="24"/>
              </w:rPr>
              <w:t xml:space="preserve">Сложность изоляции, риск «эффекта домино»</w:t>
            </w:r>
          </w:p>
        </w:tc>
        <w:tc>
          <w:tcPr/>
          <w:p>
            <w:pPr>
              <w:pStyle w:val="Compact"/>
              <w:keepNext/>
              <w:spacing w:before="0" w:after="0" w:line="240" w:lineRule="auto"/>
              <w:jc w:val="left"/>
              <w:ind w:firstLine="0"/>
            </w:pPr>
            <w:r>
              <w:rPr>
                <w:sz w:val="24"/>
                <w:szCs w:val="24"/>
              </w:rPr>
              <w:t xml:space="preserve">Ограниченная (на этапе минимально жизнеспособного продукта, MVP)</w:t>
            </w:r>
          </w:p>
        </w:tc>
      </w:tr>
      <w:tr>
        <w:trPr>
          <w:cantSplit/>
        </w:trPr>
        <w:tc>
          <w:tcPr/>
          <w:p>
            <w:pPr>
              <w:pStyle w:val="Compact"/>
              <w:keepNext/>
              <w:spacing w:before="0" w:after="0" w:line="240" w:lineRule="auto"/>
              <w:jc w:val="left"/>
              <w:ind w:firstLine="0"/>
            </w:pPr>
            <w:r>
              <w:rPr>
                <w:b/>
                <w:bCs/>
                <w:sz w:val="24"/>
                <w:szCs w:val="24"/>
              </w:rPr>
              <w:t xml:space="preserve">Модульный монолит</w:t>
            </w:r>
          </w:p>
        </w:tc>
        <w:tc>
          <w:tcPr/>
          <w:p>
            <w:pPr>
              <w:pStyle w:val="Compact"/>
              <w:keepNext/>
              <w:spacing w:before="0" w:after="0" w:line="240" w:lineRule="auto"/>
              <w:jc w:val="left"/>
              <w:ind w:firstLine="0"/>
            </w:pPr>
            <w:r>
              <w:rPr>
                <w:sz w:val="24"/>
                <w:szCs w:val="24"/>
              </w:rPr>
              <w:t xml:space="preserve">Чёткие интерфейсы, проще тестирование</w:t>
            </w:r>
          </w:p>
        </w:tc>
        <w:tc>
          <w:tcPr/>
          <w:p>
            <w:pPr>
              <w:pStyle w:val="Compact"/>
              <w:keepNext/>
              <w:spacing w:before="0" w:after="0" w:line="240" w:lineRule="auto"/>
              <w:jc w:val="left"/>
              <w:ind w:firstLine="0"/>
            </w:pPr>
            <w:r>
              <w:rPr>
                <w:sz w:val="24"/>
                <w:szCs w:val="24"/>
              </w:rPr>
              <w:t xml:space="preserve">Развёртывание остаётся единым</w:t>
            </w:r>
          </w:p>
        </w:tc>
        <w:tc>
          <w:tcPr/>
          <w:p>
            <w:pPr>
              <w:pStyle w:val="Compact"/>
              <w:keepNext/>
              <w:spacing w:before="0" w:after="0" w:line="240" w:lineRule="auto"/>
              <w:jc w:val="left"/>
              <w:ind w:firstLine="0"/>
            </w:pPr>
            <w:r>
              <w:rPr>
                <w:sz w:val="24"/>
                <w:szCs w:val="24"/>
              </w:rPr>
              <w:t xml:space="preserve">Приемлемая на ранних стадиях</w:t>
            </w:r>
          </w:p>
        </w:tc>
      </w:tr>
      <w:tr>
        <w:trPr>
          <w:cantSplit/>
        </w:trPr>
        <w:tc>
          <w:tcPr/>
          <w:p>
            <w:pPr>
              <w:pStyle w:val="Compact"/>
              <w:spacing w:before="0" w:after="0" w:line="240" w:lineRule="auto"/>
              <w:jc w:val="left"/>
              <w:ind w:firstLine="0"/>
            </w:pPr>
            <w:r>
              <w:rPr>
                <w:b/>
                <w:bCs/>
                <w:sz w:val="24"/>
                <w:szCs w:val="24"/>
              </w:rPr>
              <w:t xml:space="preserve">Микросервисы</w:t>
            </w:r>
          </w:p>
        </w:tc>
        <w:tc>
          <w:tcPr/>
          <w:p>
            <w:pPr>
              <w:pStyle w:val="Compact"/>
              <w:spacing w:before="0" w:after="0" w:line="240" w:lineRule="auto"/>
              <w:jc w:val="left"/>
              <w:ind w:firstLine="0"/>
            </w:pPr>
            <w:r>
              <w:rPr>
                <w:sz w:val="24"/>
                <w:szCs w:val="24"/>
              </w:rPr>
              <w:t xml:space="preserve">Полная изоляция, независимый стек</w:t>
            </w:r>
          </w:p>
        </w:tc>
        <w:tc>
          <w:tcPr/>
          <w:p>
            <w:pPr>
              <w:pStyle w:val="Compact"/>
              <w:spacing w:before="0" w:after="0" w:line="240" w:lineRule="auto"/>
              <w:jc w:val="left"/>
              <w:ind w:firstLine="0"/>
            </w:pPr>
            <w:r>
              <w:rPr>
                <w:sz w:val="24"/>
                <w:szCs w:val="24"/>
              </w:rPr>
              <w:t xml:space="preserve">Сложность эксплуатации, расходы на сеть</w:t>
            </w:r>
          </w:p>
        </w:tc>
        <w:tc>
          <w:tcPr/>
          <w:p>
            <w:pPr>
              <w:pStyle w:val="Compact"/>
              <w:spacing w:before="0" w:after="0" w:line="240" w:lineRule="auto"/>
              <w:jc w:val="left"/>
              <w:ind w:firstLine="0"/>
            </w:pPr>
            <w:r>
              <w:rPr>
                <w:sz w:val="24"/>
                <w:szCs w:val="24"/>
              </w:rPr>
              <w:t xml:space="preserve">Рекомендуемая</w:t>
            </w:r>
          </w:p>
        </w:tc>
      </w:tr>
    </w:tbl>
    <w:p>
      <w:pPr>
        <w:pStyle w:val="BodyText"/>
      </w:pPr>
      <w:r>
        <w:t xml:space="preserve">Как показывает сравнение, требованиям к изоляции (НФТ-3), масштабируемости (НФТ-2) и независимости развития подсистем (НФТ-4) в наибольшей степени отвечает микросервисная архитектура, которая и принята в качестве целевой для серверной части платформы.</w:t>
      </w:r>
    </w:p>
    <w:p>
      <w:pPr>
        <w:pStyle w:val="BodyText"/>
      </w:pPr>
      <w:r>
        <w:t xml:space="preserve">Во второй главе на основе анализа заинтересованных сторон и нормативной базы (Федеральный закон № 149-ФЗ, требования ФСТЭК, ГОСТ) сформулированы функциональные и измеримые нефункциональные требования к серверной части, а угрозы безопасности систематизированы по Методике оценки угроз ФСТЭК России с акцентом на серверные объекты воздействия. На основе требований обоснован выбор микросервисной архитектуры как наиболее отвечающей условиям изоляции, масштабируемости и независимости развития подсистем. Полученные требования, модель угроз и обоснованная архитектура образуют исходные данные для проектирования серверной части в третьей главе.</w:t>
      </w:r>
    </w:p>
    <w:bookmarkEnd w:id="36"/>
    <w:bookmarkEnd w:id="37"/>
    <w:bookmarkStart w:id="66" w:name="X911cbb312436a59c65ae7e0b8efdaa9ef1e5f46"/>
    <w:p>
      <w:pPr>
        <w:pStyle w:val="1"/>
        <w:jc w:val="center"/>
        <w:ind w:firstLine="0"/>
      </w:pPr>
      <w:r>
        <w:t xml:space="preserve">3. ПРОЕКТИРОВАНИЕ СЕРВЕРНОЙ ЧАСТИ ЗАЩИЩЁННОЙ МИКРОСЕРВИСНОЙ ПЛАТФОРМЫ</w:t>
      </w:r>
    </w:p>
    <w:bookmarkStart w:id="38" w:name="разделение-зон-ответственности"/>
    <w:p>
      <w:pPr>
        <w:pStyle w:val="2"/>
      </w:pPr>
      <w:r>
        <w:t xml:space="preserve">3.1. Разделение зон ответственности</w:t>
      </w:r>
    </w:p>
    <w:p>
      <w:pPr>
        <w:pStyle w:val="FirstParagraph"/>
      </w:pPr>
      <w:r>
        <w:t xml:space="preserve">Проектирование серверной части начинается с фиксации границ ответственности за аутентификацию, сессии и авторизацию между ключевыми компонентами. Чёткое распределение этих зон является условием конструктивной безопасности: каждый компонент отвечает за строго определённый набор функций, а его компрометация не распространяется на смежные зоны. Распределение ответственности приведено в таблице 3.1.</w:t>
      </w:r>
    </w:p>
    <w:p>
      <w:pPr>
        <w:pStyle w:val="BodyText"/>
        <w:keepNext/>
        <w:spacing w:before="240" w:after="60" w:line="240" w:lineRule="auto"/>
        <w:ind w:firstLine="0"/>
        <w:jc w:val="start"/>
      </w:pPr>
      <w:r>
        <w:rPr>
          <w:sz w:val="24"/>
          <w:szCs w:val="24"/>
        </w:rPr>
        <w:t xml:space="preserve">Таблица 3.1 — Распределение ответственности в системе управления доступом</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2640"/>
        <w:gridCol w:w="2640"/>
        <w:gridCol w:w="2640"/>
      </w:tblGrid>
      <w:tr>
        <w:trPr>
          <w:cantSplit/>
          <w:tblHeader w:val="on"/>
        </w:trPr>
        <w:tc>
          <w:tcPr/>
          <w:p>
            <w:pPr>
              <w:pStyle w:val="Compact"/>
              <w:keepNext/>
              <w:spacing w:before="0" w:after="0" w:line="240" w:lineRule="auto"/>
              <w:jc w:val="left"/>
              <w:ind w:firstLine="0"/>
            </w:pPr>
            <w:r>
              <w:rPr>
                <w:sz w:val="24"/>
                <w:szCs w:val="24"/>
              </w:rPr>
              <w:t xml:space="preserve">Зона ответственности</w:t>
            </w:r>
          </w:p>
        </w:tc>
        <w:tc>
          <w:tcPr/>
          <w:p>
            <w:pPr>
              <w:pStyle w:val="Compact"/>
              <w:keepNext/>
              <w:spacing w:before="0" w:after="0" w:line="240" w:lineRule="auto"/>
              <w:jc w:val="left"/>
              <w:ind w:firstLine="0"/>
            </w:pPr>
            <w:r>
              <w:rPr>
                <w:sz w:val="24"/>
                <w:szCs w:val="24"/>
              </w:rPr>
              <w:t xml:space="preserve">Владелец</w:t>
            </w:r>
          </w:p>
        </w:tc>
        <w:tc>
          <w:tcPr/>
          <w:p>
            <w:pPr>
              <w:pStyle w:val="Compact"/>
              <w:keepNext/>
              <w:spacing w:before="0" w:after="0" w:line="240" w:lineRule="auto"/>
              <w:jc w:val="left"/>
              <w:ind w:firstLine="0"/>
            </w:pPr>
            <w:r>
              <w:rPr>
                <w:sz w:val="24"/>
                <w:szCs w:val="24"/>
              </w:rPr>
              <w:t xml:space="preserve">Содержание ответственности</w:t>
            </w:r>
          </w:p>
        </w:tc>
      </w:tr>
      <w:tr>
        <w:trPr>
          <w:cantSplit/>
        </w:trPr>
        <w:tc>
          <w:tcPr/>
          <w:p>
            <w:pPr>
              <w:pStyle w:val="Compact"/>
              <w:keepNext/>
              <w:spacing w:before="0" w:after="0" w:line="240" w:lineRule="auto"/>
              <w:jc w:val="left"/>
              <w:ind w:firstLine="0"/>
            </w:pPr>
            <w:r>
              <w:rPr>
                <w:sz w:val="24"/>
                <w:szCs w:val="24"/>
              </w:rPr>
              <w:t xml:space="preserve">Поставщик аутентификации</w:t>
            </w:r>
          </w:p>
        </w:tc>
        <w:tc>
          <w:tcPr/>
          <w:p>
            <w:pPr>
              <w:pStyle w:val="Compact"/>
              <w:keepNext/>
              <w:spacing w:before="0" w:after="0" w:line="240" w:lineRule="auto"/>
              <w:jc w:val="left"/>
              <w:ind w:firstLine="0"/>
            </w:pPr>
            <w:r>
              <w:rPr>
                <w:sz w:val="24"/>
                <w:szCs w:val="24"/>
              </w:rPr>
              <w:t xml:space="preserve">Keycloak</w:t>
            </w:r>
          </w:p>
        </w:tc>
        <w:tc>
          <w:tcPr/>
          <w:p>
            <w:pPr>
              <w:pStyle w:val="Compact"/>
              <w:keepNext/>
              <w:spacing w:before="0" w:after="0" w:line="240" w:lineRule="auto"/>
              <w:jc w:val="left"/>
              <w:ind w:firstLine="0"/>
            </w:pPr>
            <w:r>
              <w:rPr>
                <w:sz w:val="24"/>
                <w:szCs w:val="24"/>
              </w:rPr>
              <w:t xml:space="preserve">Управление учётными данными, форма входа, роли области, выпуск токенов (OIDC)</w:t>
            </w:r>
          </w:p>
        </w:tc>
      </w:tr>
      <w:tr>
        <w:trPr>
          <w:cantSplit/>
        </w:trPr>
        <w:tc>
          <w:tcPr/>
          <w:p>
            <w:pPr>
              <w:pStyle w:val="Compact"/>
              <w:keepNext/>
              <w:spacing w:before="0" w:after="0" w:line="240" w:lineRule="auto"/>
              <w:jc w:val="left"/>
              <w:ind w:firstLine="0"/>
            </w:pPr>
            <w:r>
              <w:rPr>
                <w:sz w:val="24"/>
                <w:szCs w:val="24"/>
              </w:rPr>
              <w:t xml:space="preserve">Поток аутентификации</w:t>
            </w:r>
          </w:p>
        </w:tc>
        <w:tc>
          <w:tcPr/>
          <w:p>
            <w:pPr>
              <w:pStyle w:val="Compact"/>
              <w:keepNext/>
              <w:spacing w:before="0" w:after="0" w:line="240" w:lineRule="auto"/>
              <w:jc w:val="left"/>
              <w:ind w:firstLine="0"/>
            </w:pPr>
            <w:r>
              <w:rPr>
                <w:sz w:val="24"/>
                <w:szCs w:val="24"/>
              </w:rPr>
              <w:t xml:space="preserve">Серверная часть</w:t>
            </w:r>
          </w:p>
        </w:tc>
        <w:tc>
          <w:tcPr/>
          <w:p>
            <w:pPr>
              <w:pStyle w:val="Compact"/>
              <w:keepNext/>
              <w:spacing w:before="0" w:after="0" w:line="240" w:lineRule="auto"/>
              <w:jc w:val="left"/>
              <w:ind w:firstLine="0"/>
            </w:pPr>
            <w:r>
              <w:rPr>
                <w:sz w:val="24"/>
                <w:szCs w:val="24"/>
              </w:rPr>
              <w:t xml:space="preserve">Маршруты</w:t>
            </w:r>
            <w:r>
              <w:rPr>
                <w:sz w:val="24"/>
                <w:szCs w:val="24"/>
              </w:rPr>
              <w:t xml:space="preserve"> </w:t>
            </w:r>
            <w:r>
              <w:rPr>
                <w:rStyle w:val="VerbatimChar"/>
                <w:sz w:val="24"/>
                <w:szCs w:val="24"/>
              </w:rPr>
              <w:t xml:space="preserve">/login</w:t>
            </w:r>
            <w:r>
              <w:rPr>
                <w:sz w:val="24"/>
                <w:szCs w:val="24"/>
              </w:rPr>
              <w:t xml:space="preserve">,</w:t>
            </w:r>
            <w:r>
              <w:rPr>
                <w:sz w:val="24"/>
                <w:szCs w:val="24"/>
              </w:rPr>
              <w:t xml:space="preserve"> </w:t>
            </w:r>
            <w:r>
              <w:rPr>
                <w:rStyle w:val="VerbatimChar"/>
                <w:sz w:val="24"/>
                <w:szCs w:val="24"/>
              </w:rPr>
              <w:t xml:space="preserve">/callback</w:t>
            </w:r>
            <w:r>
              <w:rPr>
                <w:sz w:val="24"/>
                <w:szCs w:val="24"/>
              </w:rPr>
              <w:t xml:space="preserve">, обмен кода на токены, создание серверной сессии</w:t>
            </w:r>
          </w:p>
        </w:tc>
      </w:tr>
      <w:tr>
        <w:trPr>
          <w:cantSplit/>
        </w:trPr>
        <w:tc>
          <w:tcPr/>
          <w:p>
            <w:pPr>
              <w:pStyle w:val="Compact"/>
              <w:keepNext/>
              <w:spacing w:before="0" w:after="0" w:line="240" w:lineRule="auto"/>
              <w:jc w:val="left"/>
              <w:ind w:firstLine="0"/>
            </w:pPr>
            <w:r>
              <w:rPr>
                <w:sz w:val="24"/>
                <w:szCs w:val="24"/>
              </w:rPr>
              <w:t xml:space="preserve">Инициализация прав</w:t>
            </w:r>
          </w:p>
        </w:tc>
        <w:tc>
          <w:tcPr/>
          <w:p>
            <w:pPr>
              <w:pStyle w:val="Compact"/>
              <w:keepNext/>
              <w:spacing w:before="0" w:after="0" w:line="240" w:lineRule="auto"/>
              <w:jc w:val="left"/>
              <w:ind w:firstLine="0"/>
            </w:pPr>
            <w:r>
              <w:rPr>
                <w:sz w:val="24"/>
                <w:szCs w:val="24"/>
              </w:rPr>
              <w:t xml:space="preserve">Серверная часть</w:t>
            </w:r>
          </w:p>
        </w:tc>
        <w:tc>
          <w:tcPr/>
          <w:p>
            <w:pPr>
              <w:pStyle w:val="Compact"/>
              <w:keepNext/>
              <w:spacing w:before="0" w:after="0" w:line="240" w:lineRule="auto"/>
              <w:jc w:val="left"/>
              <w:ind w:firstLine="0"/>
            </w:pPr>
            <w:r>
              <w:rPr>
                <w:sz w:val="24"/>
                <w:szCs w:val="24"/>
              </w:rPr>
              <w:t xml:space="preserve">Выдача набора прав (</w:t>
            </w:r>
            <w:r>
              <w:rPr>
                <w:rStyle w:val="VerbatimChar"/>
                <w:sz w:val="24"/>
                <w:szCs w:val="24"/>
              </w:rPr>
              <w:t xml:space="preserve">effective_capabilities</w:t>
            </w:r>
            <w:r>
              <w:rPr>
                <w:sz w:val="24"/>
                <w:szCs w:val="24"/>
              </w:rPr>
              <w:t xml:space="preserve">) через конечную точку</w:t>
            </w:r>
            <w:r>
              <w:rPr>
                <w:sz w:val="24"/>
                <w:szCs w:val="24"/>
              </w:rPr>
              <w:t xml:space="preserve"> </w:t>
            </w:r>
            <w:r>
              <w:rPr>
                <w:rStyle w:val="VerbatimChar"/>
                <w:sz w:val="24"/>
                <w:szCs w:val="24"/>
              </w:rPr>
              <w:t xml:space="preserve">/auth/me</w:t>
            </w:r>
          </w:p>
        </w:tc>
      </w:tr>
      <w:tr>
        <w:trPr>
          <w:cantSplit/>
        </w:trPr>
        <w:tc>
          <w:tcPr/>
          <w:p>
            <w:pPr>
              <w:pStyle w:val="Compact"/>
              <w:keepNext/>
              <w:spacing w:before="0" w:after="0" w:line="240" w:lineRule="auto"/>
              <w:jc w:val="left"/>
              <w:ind w:firstLine="0"/>
            </w:pPr>
            <w:r>
              <w:rPr>
                <w:sz w:val="24"/>
                <w:szCs w:val="24"/>
              </w:rPr>
              <w:t xml:space="preserve">Ограничение интерфейса</w:t>
            </w:r>
          </w:p>
        </w:tc>
        <w:tc>
          <w:tcPr/>
          <w:p>
            <w:pPr>
              <w:pStyle w:val="Compact"/>
              <w:keepNext/>
              <w:spacing w:before="0" w:after="0" w:line="240" w:lineRule="auto"/>
              <w:jc w:val="left"/>
              <w:ind w:firstLine="0"/>
            </w:pPr>
            <w:r>
              <w:rPr>
                <w:sz w:val="24"/>
                <w:szCs w:val="24"/>
              </w:rPr>
              <w:t xml:space="preserve">Клиентская часть</w:t>
            </w:r>
          </w:p>
        </w:tc>
        <w:tc>
          <w:tcPr/>
          <w:p>
            <w:pPr>
              <w:pStyle w:val="Compact"/>
              <w:keepNext/>
              <w:spacing w:before="0" w:after="0" w:line="240" w:lineRule="auto"/>
              <w:jc w:val="left"/>
              <w:ind w:firstLine="0"/>
            </w:pPr>
            <w:r>
              <w:rPr>
                <w:sz w:val="24"/>
                <w:szCs w:val="24"/>
              </w:rPr>
              <w:t xml:space="preserve">Визуальное скрытие меню и кнопок на основе полученного набора прав</w:t>
            </w:r>
          </w:p>
        </w:tc>
      </w:tr>
      <w:tr>
        <w:trPr>
          <w:cantSplit/>
        </w:trPr>
        <w:tc>
          <w:tcPr/>
          <w:p>
            <w:pPr>
              <w:pStyle w:val="Compact"/>
              <w:keepNext/>
              <w:spacing w:before="0" w:after="0" w:line="240" w:lineRule="auto"/>
              <w:jc w:val="left"/>
              <w:ind w:firstLine="0"/>
            </w:pPr>
            <w:r>
              <w:rPr>
                <w:sz w:val="24"/>
                <w:szCs w:val="24"/>
              </w:rPr>
              <w:t xml:space="preserve">Доступ к ресурсам</w:t>
            </w:r>
          </w:p>
        </w:tc>
        <w:tc>
          <w:tcPr/>
          <w:p>
            <w:pPr>
              <w:pStyle w:val="Compact"/>
              <w:keepNext/>
              <w:spacing w:before="0" w:after="0" w:line="240" w:lineRule="auto"/>
              <w:jc w:val="left"/>
              <w:ind w:firstLine="0"/>
            </w:pPr>
            <w:r>
              <w:rPr>
                <w:sz w:val="24"/>
                <w:szCs w:val="24"/>
              </w:rPr>
              <w:t xml:space="preserve">Серверная часть</w:t>
            </w:r>
          </w:p>
        </w:tc>
        <w:tc>
          <w:tcPr/>
          <w:p>
            <w:pPr>
              <w:pStyle w:val="Compact"/>
              <w:keepNext/>
              <w:spacing w:before="0" w:after="0" w:line="240" w:lineRule="auto"/>
              <w:jc w:val="left"/>
              <w:ind w:firstLine="0"/>
            </w:pPr>
            <w:r>
              <w:rPr>
                <w:sz w:val="24"/>
                <w:szCs w:val="24"/>
              </w:rPr>
              <w:t xml:space="preserve">ABAC: окончательная серверная проверка каждого действия пользователя</w:t>
            </w:r>
          </w:p>
        </w:tc>
      </w:tr>
      <w:tr>
        <w:trPr>
          <w:cantSplit/>
        </w:trPr>
        <w:tc>
          <w:tcPr/>
          <w:p>
            <w:pPr>
              <w:pStyle w:val="Compact"/>
              <w:spacing w:before="0" w:after="0" w:line="240" w:lineRule="auto"/>
              <w:jc w:val="left"/>
              <w:ind w:firstLine="0"/>
            </w:pPr>
            <w:r>
              <w:rPr>
                <w:sz w:val="24"/>
                <w:szCs w:val="24"/>
              </w:rPr>
              <w:t xml:space="preserve">Развёртывание сред</w:t>
            </w:r>
          </w:p>
        </w:tc>
        <w:tc>
          <w:tcPr/>
          <w:p>
            <w:pPr>
              <w:pStyle w:val="Compact"/>
              <w:spacing w:before="0" w:after="0" w:line="240" w:lineRule="auto"/>
              <w:jc w:val="left"/>
              <w:ind w:firstLine="0"/>
            </w:pPr>
            <w:r>
              <w:rPr>
                <w:sz w:val="24"/>
                <w:szCs w:val="24"/>
              </w:rPr>
              <w:t xml:space="preserve">Инфраструктурный слой</w:t>
            </w:r>
          </w:p>
        </w:tc>
        <w:tc>
          <w:tcPr/>
          <w:p>
            <w:pPr>
              <w:pStyle w:val="Compact"/>
              <w:spacing w:before="0" w:after="0" w:line="240" w:lineRule="auto"/>
              <w:jc w:val="left"/>
              <w:ind w:firstLine="0"/>
            </w:pPr>
            <w:r>
              <w:rPr>
                <w:sz w:val="24"/>
                <w:szCs w:val="24"/>
              </w:rPr>
              <w:t xml:space="preserve">Создание и удаление изолированных лабораторных окружений в кластере</w:t>
            </w:r>
          </w:p>
        </w:tc>
      </w:tr>
    </w:tbl>
    <w:p>
      <w:pPr>
        <w:pStyle w:val="BodyText"/>
      </w:pPr>
      <w:r>
        <w:t xml:space="preserve">Принципиальной границей является то, что окончательная проверка прав всегда выполняется на стороне сервера, а ограничение интерфейса на клиентской части носит исключительно вспомогательный характер и не является механизмом защиты.</w:t>
      </w:r>
    </w:p>
    <w:bookmarkEnd w:id="38"/>
    <w:bookmarkStart w:id="39" w:name="выбор-стека-технологий"/>
    <w:p>
      <w:pPr>
        <w:pStyle w:val="2"/>
      </w:pPr>
      <w:r>
        <w:t xml:space="preserve">3.2. Выбор стека технологий</w:t>
      </w:r>
    </w:p>
    <w:p>
      <w:pPr>
        <w:pStyle w:val="FirstParagraph"/>
      </w:pPr>
      <w:r>
        <w:t xml:space="preserve">Выбор технологического стека обусловлен сформулированными во второй главе требованиями к производительности, безопасности и масштабируемости:</w:t>
      </w:r>
    </w:p>
    <w:p>
      <w:pPr>
        <w:pStyle w:val="Compact"/>
        <w:numPr>
          <w:ilvl w:val="0"/>
          <w:numId w:val="1015"/>
        </w:numPr>
      </w:pPr>
      <w:r>
        <w:rPr>
          <w:b/>
          <w:bCs/>
        </w:rPr>
        <w:t xml:space="preserve">Python 3.11 / FastAPI [24]:</w:t>
      </w:r>
      <w:r>
        <w:t xml:space="preserve"> </w:t>
      </w:r>
      <w:r>
        <w:t xml:space="preserve">асинхронная обработка запросов и автогенерируемая спецификация OpenAPI;</w:t>
      </w:r>
    </w:p>
    <w:p>
      <w:pPr>
        <w:pStyle w:val="Compact"/>
        <w:numPr>
          <w:ilvl w:val="0"/>
          <w:numId w:val="1015"/>
        </w:numPr>
      </w:pPr>
      <w:r>
        <w:rPr>
          <w:b/>
          <w:bCs/>
        </w:rPr>
        <w:t xml:space="preserve">Keycloak [17]:</w:t>
      </w:r>
      <w:r>
        <w:t xml:space="preserve"> </w:t>
      </w:r>
      <w:r>
        <w:t xml:space="preserve">внешний поставщик аутентификации (OIDC) и управление учётными записями через Admin API;</w:t>
      </w:r>
    </w:p>
    <w:p>
      <w:pPr>
        <w:pStyle w:val="Compact"/>
        <w:numPr>
          <w:ilvl w:val="0"/>
          <w:numId w:val="1015"/>
        </w:numPr>
      </w:pPr>
      <w:r>
        <w:rPr>
          <w:b/>
          <w:bCs/>
        </w:rPr>
        <w:t xml:space="preserve">PostgreSQL:</w:t>
      </w:r>
      <w:r>
        <w:t xml:space="preserve"> </w:t>
      </w:r>
      <w:r>
        <w:t xml:space="preserve">хранение профилей, прав доступа и учебного контента;</w:t>
      </w:r>
    </w:p>
    <w:p>
      <w:pPr>
        <w:pStyle w:val="Compact"/>
        <w:numPr>
          <w:ilvl w:val="0"/>
          <w:numId w:val="1015"/>
        </w:numPr>
      </w:pPr>
      <w:r>
        <w:rPr>
          <w:b/>
          <w:bCs/>
        </w:rPr>
        <w:t xml:space="preserve">Redis:</w:t>
      </w:r>
      <w:r>
        <w:t xml:space="preserve"> </w:t>
      </w:r>
      <w:r>
        <w:t xml:space="preserve">серверные сессии и кэширование решений о доступе;</w:t>
      </w:r>
    </w:p>
    <w:p>
      <w:pPr>
        <w:pStyle w:val="Compact"/>
        <w:numPr>
          <w:ilvl w:val="0"/>
          <w:numId w:val="1015"/>
        </w:numPr>
      </w:pPr>
      <w:r>
        <w:rPr>
          <w:b/>
          <w:bCs/>
        </w:rPr>
        <w:t xml:space="preserve">MinIO:</w:t>
      </w:r>
      <w:r>
        <w:t xml:space="preserve"> </w:t>
      </w:r>
      <w:r>
        <w:t xml:space="preserve">объектное хранилище файлов учебных материалов;</w:t>
      </w:r>
    </w:p>
    <w:p>
      <w:pPr>
        <w:pStyle w:val="Compact"/>
        <w:numPr>
          <w:ilvl w:val="0"/>
          <w:numId w:val="1015"/>
        </w:numPr>
      </w:pPr>
      <w:r>
        <w:rPr>
          <w:b/>
          <w:bCs/>
        </w:rPr>
        <w:t xml:space="preserve">RabbitMQ и Celery [25, 26]:</w:t>
      </w:r>
      <w:r>
        <w:t xml:space="preserve"> </w:t>
      </w:r>
      <w:r>
        <w:t xml:space="preserve">очередь задач и обработчики для асинхронного управления инфраструктурой.</w:t>
      </w:r>
    </w:p>
    <w:p>
      <w:pPr>
        <w:pStyle w:val="FirstParagraph"/>
      </w:pPr>
      <w:r>
        <w:t xml:space="preserve">Стек сочетает асинхронную серверную часть с внешним поставщиком аутентификации и асинхронным контуром обработки инфраструктурных задач, что соответствует выбранной микросервисной архитектуре и принципу минимизации доверенной вычислительной базы.</w:t>
      </w:r>
    </w:p>
    <w:bookmarkEnd w:id="39"/>
    <w:bookmarkStart w:id="40" w:name="Xbe6b0aa2209f57ccb3238d4d37a2ccf3b968df0"/>
    <w:p>
      <w:pPr>
        <w:pStyle w:val="2"/>
      </w:pPr>
      <w:r>
        <w:t xml:space="preserve">3.3. Архитектурные шаблоны и принципы кибериммунности</w:t>
      </w:r>
    </w:p>
    <w:p>
      <w:pPr>
        <w:pStyle w:val="FirstParagraph"/>
      </w:pPr>
      <w:r>
        <w:t xml:space="preserve">При проектировании серверной части разрабатываемой платформы (далее — KSAILab) за основу принят</w:t>
      </w:r>
      <w:r>
        <w:t xml:space="preserve"> </w:t>
      </w:r>
      <w:r>
        <w:rPr>
          <w:b/>
          <w:bCs/>
        </w:rPr>
        <w:t xml:space="preserve">кибериммунный подход</w:t>
      </w:r>
      <w:r>
        <w:t xml:space="preserve">, теоретические основы которого рассмотрены в подразделе 1.4. На уровне проектирования он выражается в строгом разделении доменов безопасности и минимизации доверенной вычислительной базы (TCB).</w:t>
      </w:r>
    </w:p>
    <w:p>
      <w:pPr>
        <w:pStyle w:val="BodyText"/>
      </w:pPr>
      <w:r>
        <w:t xml:space="preserve">Архитектура системы строится на базе микросервисного шаблона, где каждый сервис выполняет узкоспециализированную функцию и обладает собственной изолированной средой исполнения. Ключевыми архитектурными принципами стали:</w:t>
      </w:r>
    </w:p>
    <w:p>
      <w:pPr>
        <w:pStyle w:val="Compact"/>
        <w:numPr>
          <w:ilvl w:val="0"/>
          <w:numId w:val="1016"/>
        </w:numPr>
      </w:pPr>
      <w:r>
        <w:rPr>
          <w:b/>
          <w:bCs/>
        </w:rPr>
        <w:t xml:space="preserve">Разделение полномочий:</w:t>
      </w:r>
      <w:r>
        <w:t xml:space="preserve"> </w:t>
      </w:r>
      <w:r>
        <w:t xml:space="preserve">чёткое разграничение функций управления учебными материалами и функций управления вычислительными ресурсами.</w:t>
      </w:r>
    </w:p>
    <w:p>
      <w:pPr>
        <w:pStyle w:val="Compact"/>
        <w:numPr>
          <w:ilvl w:val="0"/>
          <w:numId w:val="1016"/>
        </w:numPr>
      </w:pPr>
      <w:r>
        <w:rPr>
          <w:b/>
          <w:bCs/>
        </w:rPr>
        <w:t xml:space="preserve">Принцип наименьших привилегий:</w:t>
      </w:r>
      <w:r>
        <w:t xml:space="preserve"> </w:t>
      </w:r>
      <w:r>
        <w:t xml:space="preserve">каждый микросервис имеет доступ только к тем ресурсам (базам данных, очередям, API Kubernetes), которые необходимы для его функционирования [20].</w:t>
      </w:r>
    </w:p>
    <w:p>
      <w:pPr>
        <w:pStyle w:val="Compact"/>
        <w:numPr>
          <w:ilvl w:val="0"/>
          <w:numId w:val="1016"/>
        </w:numPr>
      </w:pPr>
      <w:r>
        <w:rPr>
          <w:b/>
          <w:bCs/>
        </w:rPr>
        <w:t xml:space="preserve">Изоляция по умолчанию:</w:t>
      </w:r>
      <w:r>
        <w:t xml:space="preserve"> </w:t>
      </w:r>
      <w:r>
        <w:t xml:space="preserve">лабораторные окружения обучающихся создаются в выделенных пространствах имён (namespaces) Kubernetes [21] с применением строгих сетевых политик (Network Policies) [19] и стандартов безопасности подов [22].</w:t>
      </w:r>
    </w:p>
    <w:bookmarkEnd w:id="40"/>
    <w:bookmarkStart w:id="44" w:name="компонентная-структура-серверной-части"/>
    <w:p>
      <w:pPr>
        <w:pStyle w:val="2"/>
      </w:pPr>
      <w:r>
        <w:t xml:space="preserve">3.4. Компонентная структура серверной части</w:t>
      </w:r>
    </w:p>
    <w:p>
      <w:pPr>
        <w:pStyle w:val="FirstParagraph"/>
      </w:pPr>
      <w:r>
        <w:t xml:space="preserve">Серверная часть платформы выступает как координационное ядро, связывающее пользователей, рабочие программы дисциплин, учебные материалы и вычислительные ресурсы инфраструктуры. Принципиальным архитектурным ограничением является то, что прикладной сервис не обладает прямым доступом к API оркестратора Kubernetes: операции с вычислительными ресурсами он инициирует косвенно, публикуя задачи в брокер сообщений, а их выполнением занимается отдельный инфраструктурный слой. Такое разделение минимизирует доверенную вычислительную базу прикладного сервиса. Состав компонентов и их связи приведены на рисунке 3.1.</w:t>
      </w:r>
    </w:p>
    <w:p>
      <w:pPr>
        <w:pStyle w:val="BodyText"/>
        <w:keepNext/>
        <w:spacing w:before="120" w:after="60" w:line="240" w:lineRule="auto"/>
        <w:ind w:firstLine="0"/>
        <w:jc w:val="center"/>
      </w:pPr>
      <w:r>
        <w:drawing>
          <wp:inline>
            <wp:extent cx="5930900" cy="4894505"/>
            <wp:effectExtent b="0" l="0" r="0" t="0"/>
            <wp:docPr descr="Компонентная структура серверной части платформы" title="" id="42" name="Picture"/>
            <a:graphic>
              <a:graphicData uri="http://schemas.openxmlformats.org/drawingml/2006/picture">
                <pic:pic>
                  <pic:nvPicPr>
                    <pic:cNvPr descr="./figures/component-structure.png" id="43" name="Picture"/>
                    <pic:cNvPicPr>
                      <a:picLocks noChangeArrowheads="1" noChangeAspect="1"/>
                    </pic:cNvPicPr>
                  </pic:nvPicPr>
                  <pic:blipFill>
                    <a:blip r:embed="rId41"/>
                    <a:stretch>
                      <a:fillRect/>
                    </a:stretch>
                  </pic:blipFill>
                  <pic:spPr bwMode="auto">
                    <a:xfrm>
                      <a:off x="0" y="0"/>
                      <a:ext cx="5930900" cy="4894505"/>
                    </a:xfrm>
                    <a:prstGeom prst="rect">
                      <a:avLst/>
                    </a:prstGeom>
                    <a:noFill/>
                    <a:ln w="9525">
                      <a:noFill/>
                      <a:headEnd/>
                      <a:tailEnd/>
                    </a:ln>
                  </pic:spPr>
                </pic:pic>
              </a:graphicData>
            </a:graphic>
          </wp:inline>
        </w:drawing>
      </w:r>
      <w:r>
        <w:t xml:space="preserve"> </w:t>
      </w:r>
      <w:r>
        <w:t xml:space="preserve">Рисунок 3.1 — Компонентная структура серверной части платформы</w:t>
      </w:r>
    </w:p>
    <w:p>
      <w:pPr>
        <w:pStyle w:val="BodyText"/>
      </w:pPr>
      <w:r>
        <w:t xml:space="preserve">Обозначения: поставщик аутентификации — Keycloak (протокол OIDC); прикладной сервис — backend-platform (FastAPI); реляционная СУБД — PostgreSQL; серверные сессии и кэш решений о доступе — Redis; объектное хранилище файлов — MinIO; брокер сообщений (очередь задач) — RabbitMQ; обработчики задач — Celery; оркестратор контейнеров — Kubernetes.</w:t>
      </w:r>
    </w:p>
    <w:p>
      <w:pPr>
        <w:pStyle w:val="BodyText"/>
      </w:pPr>
      <w:r>
        <w:t xml:space="preserve">Серверная часть включает два уровня:</w:t>
      </w:r>
    </w:p>
    <w:p>
      <w:pPr>
        <w:pStyle w:val="Compact"/>
        <w:numPr>
          <w:ilvl w:val="0"/>
          <w:numId w:val="1017"/>
        </w:numPr>
      </w:pPr>
      <w:r>
        <w:rPr>
          <w:b/>
          <w:bCs/>
        </w:rPr>
        <w:t xml:space="preserve">Прикладной сервис (</w:t>
      </w:r>
      <w:r>
        <w:rPr>
          <w:rStyle w:val="VerbatimChar"/>
          <w:b/>
          <w:bCs/>
        </w:rPr>
        <w:t xml:space="preserve">backend-platform</w:t>
      </w:r>
      <w:r>
        <w:rPr>
          <w:b/>
          <w:bCs/>
        </w:rPr>
        <w:t xml:space="preserve">)</w:t>
      </w:r>
      <w:r>
        <w:t xml:space="preserve"> </w:t>
      </w:r>
      <w:r>
        <w:t xml:space="preserve">— единый сервис на фреймворке FastAPI, являющийся «точкой входа» для клиентской части. Он реализует проверку личности и ведение серверной сессии, вычисление эффективных прав пользователя, управление дисциплинами, разделами, банком вопросов и тестами, а также постановку инфраструктурных задач в очередь.</w:t>
      </w:r>
    </w:p>
    <w:p>
      <w:pPr>
        <w:pStyle w:val="Compact"/>
        <w:numPr>
          <w:ilvl w:val="0"/>
          <w:numId w:val="1017"/>
        </w:numPr>
      </w:pPr>
      <w:r>
        <w:rPr>
          <w:b/>
          <w:bCs/>
        </w:rPr>
        <w:t xml:space="preserve">Инфраструктурный слой (обработчики задач)</w:t>
      </w:r>
      <w:r>
        <w:t xml:space="preserve"> </w:t>
      </w:r>
      <w:r>
        <w:t xml:space="preserve">— отдельный слой, выполняющий развёртывание и удаление изолированных лабораторных сред и являющийся единственным компонентом, обладающим доступом к API Kubernetes. Он получает задачи из брокера сообщений и абстрагирует сложность оркестрации от прикладной логики платформы. Детальное проектирование этого слоя относится к инфраструктурному контуру; со стороны серверной части фиксируется лишь контракт взаимодействия с ним (подраздел 3.7).</w:t>
      </w:r>
    </w:p>
    <w:bookmarkEnd w:id="44"/>
    <w:bookmarkStart w:id="57" w:name="проектирование-логической-модели-данных"/>
    <w:p>
      <w:pPr>
        <w:pStyle w:val="2"/>
      </w:pPr>
      <w:r>
        <w:t xml:space="preserve">3.5. Проектирование логической модели данных</w:t>
      </w:r>
    </w:p>
    <w:p>
      <w:pPr>
        <w:pStyle w:val="FirstParagraph"/>
      </w:pPr>
      <w:r>
        <w:t xml:space="preserve">Для хранения состояний платформы используется реляционная СУБД PostgreSQL. Для наглядности логическая модель данных серверной части представлена четырьмя взаимосвязанными фрагментами: идентификация, учебные группы и назначение дисциплин (рисунок 3.2); структура учебного контента (рисунок 3.3); группы доступа и членство в них (рисунок 3.4); права, назначаемые группам доступа (рисунок 3.5).</w:t>
      </w:r>
    </w:p>
    <w:p>
      <w:pPr>
        <w:pStyle w:val="BodyText"/>
        <w:keepNext/>
        <w:spacing w:before="120" w:after="60" w:line="240" w:lineRule="auto"/>
        <w:ind w:firstLine="0"/>
        <w:jc w:val="center"/>
      </w:pPr>
      <w:r>
        <w:drawing>
          <wp:inline>
            <wp:extent cx="5930900" cy="3964019"/>
            <wp:effectExtent b="0" l="0" r="0" t="0"/>
            <wp:docPr descr="Идентификация, учебные группы и назначение дисциплин" title="" id="46" name="Picture"/>
            <a:graphic>
              <a:graphicData uri="http://schemas.openxmlformats.org/drawingml/2006/picture">
                <pic:pic>
                  <pic:nvPicPr>
                    <pic:cNvPr descr="./figures/er-identity.png" id="47" name="Picture"/>
                    <pic:cNvPicPr>
                      <a:picLocks noChangeArrowheads="1" noChangeAspect="1"/>
                    </pic:cNvPicPr>
                  </pic:nvPicPr>
                  <pic:blipFill>
                    <a:blip r:embed="rId45"/>
                    <a:stretch>
                      <a:fillRect/>
                    </a:stretch>
                  </pic:blipFill>
                  <pic:spPr bwMode="auto">
                    <a:xfrm>
                      <a:off x="0" y="0"/>
                      <a:ext cx="5930900" cy="3964019"/>
                    </a:xfrm>
                    <a:prstGeom prst="rect">
                      <a:avLst/>
                    </a:prstGeom>
                    <a:noFill/>
                    <a:ln w="9525">
                      <a:noFill/>
                      <a:headEnd/>
                      <a:tailEnd/>
                    </a:ln>
                  </pic:spPr>
                </pic:pic>
              </a:graphicData>
            </a:graphic>
          </wp:inline>
        </w:drawing>
      </w:r>
      <w:r>
        <w:t xml:space="preserve"> </w:t>
      </w:r>
      <w:r>
        <w:t xml:space="preserve">Рисунок 3.2 — Идентификация, учебные группы и назначение дисциплин (ER-диаграмма)</w:t>
      </w:r>
    </w:p>
    <w:p>
      <w:pPr>
        <w:pStyle w:val="BodyText"/>
      </w:pPr>
      <w:r>
        <w:t xml:space="preserve">Обозначения: organizations — организации; users — пользователи; groups — учебные группы; group_students, group_teachers — членство студентов и преподавателей; group_topics — назначение дисциплин (topics) учебным группам. PK — первичный ключ, FK — внешний ключ.</w:t>
      </w:r>
    </w:p>
    <w:p>
      <w:pPr>
        <w:pStyle w:val="BodyText"/>
        <w:keepNext/>
        <w:spacing w:before="120" w:after="60" w:line="240" w:lineRule="auto"/>
        <w:ind w:firstLine="0"/>
        <w:jc w:val="center"/>
      </w:pPr>
      <w:r>
        <w:drawing>
          <wp:inline>
            <wp:extent cx="5930900" cy="6082198"/>
            <wp:effectExtent b="0" l="0" r="0" t="0"/>
            <wp:docPr descr="Структура учебного контента" title="" id="49" name="Picture"/>
            <a:graphic>
              <a:graphicData uri="http://schemas.openxmlformats.org/drawingml/2006/picture">
                <pic:pic>
                  <pic:nvPicPr>
                    <pic:cNvPr descr="./figures/er-content.png" id="50" name="Picture"/>
                    <pic:cNvPicPr>
                      <a:picLocks noChangeArrowheads="1" noChangeAspect="1"/>
                    </pic:cNvPicPr>
                  </pic:nvPicPr>
                  <pic:blipFill>
                    <a:blip r:embed="rId48"/>
                    <a:stretch>
                      <a:fillRect/>
                    </a:stretch>
                  </pic:blipFill>
                  <pic:spPr bwMode="auto">
                    <a:xfrm>
                      <a:off x="0" y="0"/>
                      <a:ext cx="5930900" cy="6082198"/>
                    </a:xfrm>
                    <a:prstGeom prst="rect">
                      <a:avLst/>
                    </a:prstGeom>
                    <a:noFill/>
                    <a:ln w="9525">
                      <a:noFill/>
                      <a:headEnd/>
                      <a:tailEnd/>
                    </a:ln>
                  </pic:spPr>
                </pic:pic>
              </a:graphicData>
            </a:graphic>
          </wp:inline>
        </w:drawing>
      </w:r>
      <w:r>
        <w:t xml:space="preserve"> </w:t>
      </w:r>
      <w:r>
        <w:t xml:space="preserve">Рисунок 3.3 — Структура учебного контента (ER-диаграмма)</w:t>
      </w:r>
    </w:p>
    <w:p>
      <w:pPr>
        <w:pStyle w:val="BodyText"/>
      </w:pPr>
      <w:r>
        <w:t xml:space="preserve">Обозначения: topics → sections → subsections — иерархия учебных материалов (дисциплина, раздел, подраздел); tests, questions — тесты и вопросы; test_questions — связь тестов и вопросов (многие-ко-многим); test_attempts — попытки прохождения тестов студентами (связаны также с таблицей users). Прогресс прохождения фиксируется отдельными таблицами (topic_progress, section_progress, subsection_progress). PK — первичный ключ, FK — внешний ключ.</w:t>
      </w:r>
    </w:p>
    <w:p>
      <w:pPr>
        <w:pStyle w:val="BodyText"/>
        <w:keepNext/>
        <w:spacing w:before="120" w:after="60" w:line="240" w:lineRule="auto"/>
        <w:ind w:firstLine="0"/>
        <w:jc w:val="center"/>
      </w:pPr>
      <w:r>
        <w:drawing>
          <wp:inline>
            <wp:extent cx="5930900" cy="5601886"/>
            <wp:effectExtent b="0" l="0" r="0" t="0"/>
            <wp:docPr descr="Группы доступа и членство" title="" id="52" name="Picture"/>
            <a:graphic>
              <a:graphicData uri="http://schemas.openxmlformats.org/drawingml/2006/picture">
                <pic:pic>
                  <pic:nvPicPr>
                    <pic:cNvPr descr="./figures/er-access-groups.png" id="53" name="Picture"/>
                    <pic:cNvPicPr>
                      <a:picLocks noChangeArrowheads="1" noChangeAspect="1"/>
                    </pic:cNvPicPr>
                  </pic:nvPicPr>
                  <pic:blipFill>
                    <a:blip r:embed="rId51"/>
                    <a:stretch>
                      <a:fillRect/>
                    </a:stretch>
                  </pic:blipFill>
                  <pic:spPr bwMode="auto">
                    <a:xfrm>
                      <a:off x="0" y="0"/>
                      <a:ext cx="5930900" cy="5601886"/>
                    </a:xfrm>
                    <a:prstGeom prst="rect">
                      <a:avLst/>
                    </a:prstGeom>
                    <a:noFill/>
                    <a:ln w="9525">
                      <a:noFill/>
                      <a:headEnd/>
                      <a:tailEnd/>
                    </a:ln>
                  </pic:spPr>
                </pic:pic>
              </a:graphicData>
            </a:graphic>
          </wp:inline>
        </w:drawing>
      </w:r>
      <w:r>
        <w:t xml:space="preserve"> </w:t>
      </w:r>
      <w:r>
        <w:t xml:space="preserve">Рисунок 3.4 — Группы доступа и членство пользователей (ER-диаграмма)</w:t>
      </w:r>
    </w:p>
    <w:p>
      <w:pPr>
        <w:pStyle w:val="BodyText"/>
      </w:pPr>
      <w:r>
        <w:t xml:space="preserve">Обозначения: access_groups — группы доступа; access_group_memberships — членство пользователей в группах доступа; access_assignment_mode — режим назначения прикладного доступа пользователю; keycloak_sub — идентификатор пользователя во внешнем поставщике аутентификации.</w:t>
      </w:r>
    </w:p>
    <w:p>
      <w:pPr>
        <w:pStyle w:val="BodyText"/>
        <w:keepNext/>
        <w:spacing w:before="120" w:after="60" w:line="240" w:lineRule="auto"/>
        <w:ind w:firstLine="0"/>
        <w:jc w:val="center"/>
      </w:pPr>
      <w:r>
        <w:drawing>
          <wp:inline>
            <wp:extent cx="5930900" cy="1936620"/>
            <wp:effectExtent b="0" l="0" r="0" t="0"/>
            <wp:docPr descr="Права, назначаемые группам доступа" title="" id="55" name="Picture"/>
            <a:graphic>
              <a:graphicData uri="http://schemas.openxmlformats.org/drawingml/2006/picture">
                <pic:pic>
                  <pic:nvPicPr>
                    <pic:cNvPr descr="./figures/er-access-grants.png" id="56" name="Picture"/>
                    <pic:cNvPicPr>
                      <a:picLocks noChangeArrowheads="1" noChangeAspect="1"/>
                    </pic:cNvPicPr>
                  </pic:nvPicPr>
                  <pic:blipFill>
                    <a:blip r:embed="rId54"/>
                    <a:stretch>
                      <a:fillRect/>
                    </a:stretch>
                  </pic:blipFill>
                  <pic:spPr bwMode="auto">
                    <a:xfrm>
                      <a:off x="0" y="0"/>
                      <a:ext cx="5930900" cy="1936620"/>
                    </a:xfrm>
                    <a:prstGeom prst="rect">
                      <a:avLst/>
                    </a:prstGeom>
                    <a:noFill/>
                    <a:ln w="9525">
                      <a:noFill/>
                      <a:headEnd/>
                      <a:tailEnd/>
                    </a:ln>
                  </pic:spPr>
                </pic:pic>
              </a:graphicData>
            </a:graphic>
          </wp:inline>
        </w:drawing>
      </w:r>
      <w:r>
        <w:t xml:space="preserve"> </w:t>
      </w:r>
      <w:r>
        <w:t xml:space="preserve">Рисунок 3.5 — Права, назначаемые группам доступа (ER-диаграмма)</w:t>
      </w:r>
    </w:p>
    <w:p>
      <w:pPr>
        <w:pStyle w:val="BodyText"/>
      </w:pPr>
      <w:r>
        <w:t xml:space="preserve">Обозначения: access_group_role_assignments, access_group_bundle_assignments, access_group_capability_grants — назначаемые группе доступа роли, наборы прав (bundles) и отдельные полномочия (capabilities) соответственно.</w:t>
      </w:r>
    </w:p>
    <w:bookmarkEnd w:id="57"/>
    <w:bookmarkStart w:id="61" w:name="Xe0325c0521628f9ca056a265dcd1e04c6fda97e"/>
    <w:p>
      <w:pPr>
        <w:pStyle w:val="2"/>
      </w:pPr>
      <w:r>
        <w:t xml:space="preserve">3.6. Проектирование гибридной модели доступа (RBAC + ABAC)</w:t>
      </w:r>
    </w:p>
    <w:p>
      <w:pPr>
        <w:pStyle w:val="FirstParagraph"/>
      </w:pPr>
      <w:r>
        <w:t xml:space="preserve">Спроектированная модель контроля доступа KSAILab сочетает ролевую (RBAC) и атрибутную (ABAC) модели и базируется на едином реестре полномочий (Capabilities) и архитектурном шаблоне PDP/PEP. Эффективные права пользователя вычисляются по схеме «принципал + назначенный доступ + наборы прав + точечные ограничения ресурса», а защищённая операция последовательно проходит три проверки: подтверждение личности, наличие требуемого полномочия и проверку прав на конкретный ресурс. Структура назначения прав показана на рисунке 3.6.</w:t>
      </w:r>
    </w:p>
    <w:p>
      <w:pPr>
        <w:pStyle w:val="BodyText"/>
        <w:keepNext/>
        <w:spacing w:before="120" w:after="60" w:line="240" w:lineRule="auto"/>
        <w:ind w:firstLine="0"/>
        <w:jc w:val="center"/>
      </w:pPr>
      <w:r>
        <w:drawing>
          <wp:inline>
            <wp:extent cx="5930900" cy="7014823"/>
            <wp:effectExtent b="0" l="0" r="0" t="0"/>
            <wp:docPr descr="Структура назначения прав в гибридной модели доступа" title="" id="59" name="Picture"/>
            <a:graphic>
              <a:graphicData uri="http://schemas.openxmlformats.org/drawingml/2006/picture">
                <pic:pic>
                  <pic:nvPicPr>
                    <pic:cNvPr descr="./figures/access-model.png" id="60" name="Picture"/>
                    <pic:cNvPicPr>
                      <a:picLocks noChangeArrowheads="1" noChangeAspect="1"/>
                    </pic:cNvPicPr>
                  </pic:nvPicPr>
                  <pic:blipFill>
                    <a:blip r:embed="rId58"/>
                    <a:stretch>
                      <a:fillRect/>
                    </a:stretch>
                  </pic:blipFill>
                  <pic:spPr bwMode="auto">
                    <a:xfrm>
                      <a:off x="0" y="0"/>
                      <a:ext cx="5930900" cy="7014823"/>
                    </a:xfrm>
                    <a:prstGeom prst="rect">
                      <a:avLst/>
                    </a:prstGeom>
                    <a:noFill/>
                    <a:ln w="9525">
                      <a:noFill/>
                      <a:headEnd/>
                      <a:tailEnd/>
                    </a:ln>
                  </pic:spPr>
                </pic:pic>
              </a:graphicData>
            </a:graphic>
          </wp:inline>
        </w:drawing>
      </w:r>
      <w:r>
        <w:t xml:space="preserve"> </w:t>
      </w:r>
      <w:r>
        <w:t xml:space="preserve">Рисунок 3.6 — Структура назначения прав в гибридной модели доступа</w:t>
      </w:r>
    </w:p>
    <w:p>
      <w:pPr>
        <w:pStyle w:val="BodyText"/>
      </w:pPr>
      <w:r>
        <w:t xml:space="preserve">Обозначения: группа доступа (access group) объединяет назначаемые пользователю роли, наборы прав и отдельные полномочия; эффективные полномочия — итоговый набор прав, выдаваемый при инициализации сессии; ABAC — атрибутная проверка прав на конкретный ресурс.</w:t>
      </w:r>
    </w:p>
    <w:p>
      <w:pPr>
        <w:pStyle w:val="BodyText"/>
      </w:pPr>
      <w:r>
        <w:rPr>
          <w:b/>
          <w:bCs/>
        </w:rPr>
        <w:t xml:space="preserve">Реестр полномочий и модель назначения доступа.</w:t>
      </w:r>
      <w:r>
        <w:t xml:space="preserve"> </w:t>
      </w:r>
      <w:r>
        <w:t xml:space="preserve">В системе спроектирован единый словарь платформенных прав — каталог возможностей (Capabilities Catalog), обеспечивающий согласованность между слоями системы: ограничение интерфейса (видимость пунктов меню и компонентов клиентской части), проверку права на инициирование операций и инициализацию сессии (выдача набора эффективных прав через</w:t>
      </w:r>
      <w:r>
        <w:t xml:space="preserve"> </w:t>
      </w:r>
      <w:r>
        <w:rPr>
          <w:rStyle w:val="VerbatimChar"/>
        </w:rPr>
        <w:t xml:space="preserve">GET /api/v1/auth/me</w:t>
      </w:r>
      <w:r>
        <w:t xml:space="preserve">). Ключи полномочий следуют иерархическому формату</w:t>
      </w:r>
      <w:r>
        <w:t xml:space="preserve"> </w:t>
      </w:r>
      <w:r>
        <w:rPr>
          <w:rStyle w:val="VerbatimChar"/>
        </w:rPr>
        <w:t xml:space="preserve">&lt;раздел&gt;.&lt;ресурс&gt;.&lt;действие&gt;</w:t>
      </w:r>
      <w:r>
        <w:t xml:space="preserve"> </w:t>
      </w:r>
      <w:r>
        <w:t xml:space="preserve">(например,</w:t>
      </w:r>
      <w:r>
        <w:t xml:space="preserve"> </w:t>
      </w:r>
      <w:r>
        <w:rPr>
          <w:rStyle w:val="VerbatimChar"/>
        </w:rPr>
        <w:t xml:space="preserve">education.courses.read</w:t>
      </w:r>
      <w:r>
        <w:t xml:space="preserve">), что обеспечивает стабильность и читаемость контракта. Каждой возможности сопоставлена область действия (</w:t>
      </w:r>
      <w:r>
        <w:rPr>
          <w:rStyle w:val="VerbatimChar"/>
        </w:rPr>
        <w:t xml:space="preserve">scope</w:t>
      </w:r>
      <w:r>
        <w:t xml:space="preserve">): глобальная (</w:t>
      </w:r>
      <w:r>
        <w:rPr>
          <w:rStyle w:val="VerbatimChar"/>
        </w:rPr>
        <w:t xml:space="preserve">global</w:t>
      </w:r>
      <w:r>
        <w:t xml:space="preserve">), глобальная с ограничением своей карточкой (</w:t>
      </w:r>
      <w:r>
        <w:rPr>
          <w:rStyle w:val="VerbatimChar"/>
        </w:rPr>
        <w:t xml:space="preserve">global+self</w:t>
      </w:r>
      <w:r>
        <w:t xml:space="preserve">), только над собственными данными (</w:t>
      </w:r>
      <w:r>
        <w:rPr>
          <w:rStyle w:val="VerbatimChar"/>
        </w:rPr>
        <w:t xml:space="preserve">self</w:t>
      </w:r>
      <w:r>
        <w:t xml:space="preserve">) и глобальная с дополнительной проверкой конкретного ресурса (</w:t>
      </w:r>
      <w:r>
        <w:rPr>
          <w:rStyle w:val="VerbatimChar"/>
        </w:rPr>
        <w:t xml:space="preserve">global+resource</w:t>
      </w:r>
      <w:r>
        <w:t xml:space="preserve">). Именно</w:t>
      </w:r>
      <w:r>
        <w:t xml:space="preserve"> </w:t>
      </w:r>
      <w:r>
        <w:rPr>
          <w:rStyle w:val="VerbatimChar"/>
        </w:rPr>
        <w:t xml:space="preserve">global+resource</w:t>
      </w:r>
      <w:r>
        <w:t xml:space="preserve"> </w:t>
      </w:r>
      <w:r>
        <w:t xml:space="preserve">указывает, что поверх наличия права требуется ABAC-проверка владения или назначения ресурса.</w:t>
      </w:r>
    </w:p>
    <w:p>
      <w:pPr>
        <w:pStyle w:val="BodyText"/>
      </w:pPr>
      <w:r>
        <w:t xml:space="preserve">Модель назначения прав состоит из четырёх уровней:</w:t>
      </w:r>
    </w:p>
    <w:p>
      <w:pPr>
        <w:pStyle w:val="Compact"/>
        <w:numPr>
          <w:ilvl w:val="0"/>
          <w:numId w:val="1018"/>
        </w:numPr>
      </w:pPr>
      <w:r>
        <w:rPr>
          <w:b/>
          <w:bCs/>
        </w:rPr>
        <w:t xml:space="preserve">Определения (definitions)</w:t>
      </w:r>
      <w:r>
        <w:t xml:space="preserve"> </w:t>
      </w:r>
      <w:r>
        <w:t xml:space="preserve">— версионируемый каталог возможностей, зафиксированный в коде серверной части как источник истины;</w:t>
      </w:r>
    </w:p>
    <w:p>
      <w:pPr>
        <w:pStyle w:val="Compact"/>
        <w:numPr>
          <w:ilvl w:val="0"/>
          <w:numId w:val="1018"/>
        </w:numPr>
      </w:pPr>
      <w:r>
        <w:rPr>
          <w:b/>
          <w:bCs/>
        </w:rPr>
        <w:t xml:space="preserve">Наборы прав (bundles)</w:t>
      </w:r>
      <w:r>
        <w:t xml:space="preserve"> </w:t>
      </w:r>
      <w:r>
        <w:t xml:space="preserve">— стартовые наборы возможностей для типового профиля (например,</w:t>
      </w:r>
      <w:r>
        <w:t xml:space="preserve"> </w:t>
      </w:r>
      <w:r>
        <w:rPr>
          <w:rStyle w:val="VerbatimChar"/>
        </w:rPr>
        <w:t xml:space="preserve">teacher.base</w:t>
      </w:r>
      <w:r>
        <w:t xml:space="preserve">,</w:t>
      </w:r>
      <w:r>
        <w:t xml:space="preserve"> </w:t>
      </w:r>
      <w:r>
        <w:rPr>
          <w:rStyle w:val="VerbatimChar"/>
        </w:rPr>
        <w:t xml:space="preserve">student.base</w:t>
      </w:r>
      <w:r>
        <w:t xml:space="preserve">,</w:t>
      </w:r>
      <w:r>
        <w:t xml:space="preserve"> </w:t>
      </w:r>
      <w:r>
        <w:rPr>
          <w:rStyle w:val="VerbatimChar"/>
        </w:rPr>
        <w:t xml:space="preserve">admin.base</w:t>
      </w:r>
      <w:r>
        <w:t xml:space="preserve">);</w:t>
      </w:r>
    </w:p>
    <w:p>
      <w:pPr>
        <w:pStyle w:val="Compact"/>
        <w:numPr>
          <w:ilvl w:val="0"/>
          <w:numId w:val="1018"/>
        </w:numPr>
      </w:pPr>
      <w:r>
        <w:rPr>
          <w:b/>
          <w:bCs/>
        </w:rPr>
        <w:t xml:space="preserve">Назначения (assignments)</w:t>
      </w:r>
      <w:r>
        <w:t xml:space="preserve"> </w:t>
      </w:r>
      <w:r>
        <w:t xml:space="preserve">— выдача наборов и отдельных полномочий пользователю через группы доступа (access groups);</w:t>
      </w:r>
    </w:p>
    <w:p>
      <w:pPr>
        <w:pStyle w:val="Compact"/>
        <w:numPr>
          <w:ilvl w:val="0"/>
          <w:numId w:val="1018"/>
        </w:numPr>
      </w:pPr>
      <w:r>
        <w:rPr>
          <w:b/>
          <w:bCs/>
        </w:rPr>
        <w:t xml:space="preserve">Атрибутные ограничения (ABAC)</w:t>
      </w:r>
      <w:r>
        <w:t xml:space="preserve"> </w:t>
      </w:r>
      <w:r>
        <w:t xml:space="preserve">— точечная проверка прав на конкретный ресурс.</w:t>
      </w:r>
    </w:p>
    <w:p>
      <w:pPr>
        <w:pStyle w:val="FirstParagraph"/>
      </w:pPr>
      <w:r>
        <w:t xml:space="preserve">Группа доступа (access group) является основным механизмом назначения прикладного доступа: членство пользователя в ней задаёт набор ролей, наборов прав и отдельных возможностей. Это позволяет гибко расширять доступ сверх базовой системной роли, не изменяя саму роль. Системные роли (</w:t>
      </w:r>
      <w:r>
        <w:rPr>
          <w:rStyle w:val="VerbatimChar"/>
        </w:rPr>
        <w:t xml:space="preserve">администратор</w:t>
      </w:r>
      <w:r>
        <w:t xml:space="preserve">,</w:t>
      </w:r>
      <w:r>
        <w:t xml:space="preserve"> </w:t>
      </w:r>
      <w:r>
        <w:rPr>
          <w:rStyle w:val="VerbatimChar"/>
        </w:rPr>
        <w:t xml:space="preserve">преподаватель</w:t>
      </w:r>
      <w:r>
        <w:t xml:space="preserve">,</w:t>
      </w:r>
      <w:r>
        <w:t xml:space="preserve"> </w:t>
      </w:r>
      <w:r>
        <w:rPr>
          <w:rStyle w:val="VerbatimChar"/>
        </w:rPr>
        <w:t xml:space="preserve">студент</w:t>
      </w:r>
      <w:r>
        <w:t xml:space="preserve">) рассматриваются как неизменяемая грубая классификация, а более гибкие профили доступа — например, роль модератора, сопровождающего учебный процесс в закреплённых группах, — выражаются именно через группы доступа, а не как отдельная системная роль. Режим назначения доступа фиксируется явно и принимает одно из трёх значений: доступ выводится из базовой роли, выдан через группу доступа либо ещё не назначен; последнее состояние штатно — пользователь может пройти аутентификацию, но до выдачи прикладного доступа запросы к защищённым ресурсам отклоняются с кодом 403.</w:t>
      </w:r>
    </w:p>
    <w:p>
      <w:pPr>
        <w:pStyle w:val="BodyText"/>
      </w:pPr>
      <w:r>
        <w:rPr>
          <w:b/>
          <w:bCs/>
        </w:rPr>
        <w:t xml:space="preserve">Системный каталог возможностей.</w:t>
      </w:r>
      <w:r>
        <w:t xml:space="preserve"> </w:t>
      </w:r>
      <w:r>
        <w:t xml:space="preserve">Каталог охватывает все разделы платформы — от базовой навигации до администрирования прав. Для иллюстрации его структуры в таблице 3.2 приведены характерные примеры возможностей; полный системный реестр (39 возможностей: 33 каталожных и 6 базовых исполняемых) с указанием области действия и допустимых ролей вынесен в приложение А (таблица А.1).</w:t>
      </w:r>
    </w:p>
    <w:p>
      <w:pPr>
        <w:pStyle w:val="BodyText"/>
        <w:keepNext/>
        <w:spacing w:before="240" w:after="60" w:line="240" w:lineRule="auto"/>
        <w:ind w:firstLine="0"/>
        <w:jc w:val="start"/>
      </w:pPr>
      <w:r>
        <w:rPr>
          <w:sz w:val="24"/>
          <w:szCs w:val="24"/>
        </w:rPr>
        <w:t xml:space="preserve">Таблица 3.2 — Примеры возможностей из системного реестра</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Группа</w:t>
            </w:r>
          </w:p>
        </w:tc>
        <w:tc>
          <w:tcPr/>
          <w:p>
            <w:pPr>
              <w:pStyle w:val="Compact"/>
              <w:keepNext/>
              <w:spacing w:before="0" w:after="0" w:line="240" w:lineRule="auto"/>
              <w:jc w:val="left"/>
              <w:ind w:firstLine="0"/>
            </w:pPr>
            <w:r>
              <w:rPr>
                <w:sz w:val="24"/>
                <w:szCs w:val="24"/>
              </w:rPr>
              <w:t xml:space="preserve">Возможность (ключ)</w:t>
            </w:r>
          </w:p>
        </w:tc>
        <w:tc>
          <w:tcPr/>
          <w:p>
            <w:pPr>
              <w:pStyle w:val="Compact"/>
              <w:keepNext/>
              <w:spacing w:before="0" w:after="0" w:line="240" w:lineRule="auto"/>
              <w:jc w:val="left"/>
              <w:ind w:firstLine="0"/>
            </w:pPr>
            <w:r>
              <w:rPr>
                <w:sz w:val="24"/>
                <w:szCs w:val="24"/>
              </w:rPr>
              <w:t xml:space="preserve">Назначение</w:t>
            </w:r>
          </w:p>
        </w:tc>
        <w:tc>
          <w:tcPr/>
          <w:p>
            <w:pPr>
              <w:pStyle w:val="Compact"/>
              <w:keepNext/>
              <w:spacing w:before="0" w:after="0" w:line="240" w:lineRule="auto"/>
              <w:jc w:val="left"/>
              <w:ind w:firstLine="0"/>
            </w:pPr>
            <w:r>
              <w:rPr>
                <w:sz w:val="24"/>
                <w:szCs w:val="24"/>
              </w:rPr>
              <w:t xml:space="preserve">Роли</w:t>
            </w:r>
          </w:p>
        </w:tc>
      </w:tr>
      <w:tr>
        <w:trPr>
          <w:cantSplit/>
        </w:trPr>
        <w:tc>
          <w:tcPr/>
          <w:p>
            <w:pPr>
              <w:pStyle w:val="Compact"/>
              <w:keepNext/>
              <w:spacing w:before="0" w:after="0" w:line="240" w:lineRule="auto"/>
              <w:jc w:val="left"/>
              <w:ind w:firstLine="0"/>
            </w:pPr>
            <w:r>
              <w:rPr>
                <w:sz w:val="24"/>
                <w:szCs w:val="24"/>
              </w:rPr>
              <w:t xml:space="preserve">Базовые</w:t>
            </w:r>
          </w:p>
        </w:tc>
        <w:tc>
          <w:tcPr/>
          <w:p>
            <w:pPr>
              <w:pStyle w:val="Compact"/>
              <w:keepNext/>
              <w:spacing w:before="0" w:after="0" w:line="240" w:lineRule="auto"/>
              <w:jc w:val="left"/>
              <w:ind w:firstLine="0"/>
            </w:pPr>
            <w:r>
              <w:rPr>
                <w:rStyle w:val="VerbatimChar"/>
                <w:sz w:val="24"/>
                <w:szCs w:val="24"/>
              </w:rPr>
              <w:t xml:space="preserve">home.read</w:t>
            </w:r>
          </w:p>
        </w:tc>
        <w:tc>
          <w:tcPr/>
          <w:p>
            <w:pPr>
              <w:pStyle w:val="Compact"/>
              <w:keepNext/>
              <w:spacing w:before="0" w:after="0" w:line="240" w:lineRule="auto"/>
              <w:jc w:val="left"/>
              <w:ind w:firstLine="0"/>
            </w:pPr>
            <w:r>
              <w:rPr>
                <w:sz w:val="24"/>
                <w:szCs w:val="24"/>
              </w:rPr>
              <w:t xml:space="preserve">Доступ к главной странице и сводной панели</w:t>
            </w:r>
          </w:p>
        </w:tc>
        <w:tc>
          <w:tcPr/>
          <w:p>
            <w:pPr>
              <w:pStyle w:val="Compact"/>
              <w:keepNext/>
              <w:spacing w:before="0" w:after="0" w:line="240" w:lineRule="auto"/>
              <w:jc w:val="left"/>
              <w:ind w:firstLine="0"/>
            </w:pPr>
            <w:r>
              <w:rPr>
                <w:sz w:val="24"/>
                <w:szCs w:val="24"/>
              </w:rPr>
              <w:t xml:space="preserve">Все</w:t>
            </w:r>
          </w:p>
        </w:tc>
      </w:tr>
      <w:tr>
        <w:trPr>
          <w:cantSplit/>
        </w:trPr>
        <w:tc>
          <w:tcPr/>
          <w:p>
            <w:pPr>
              <w:pStyle w:val="Compact"/>
              <w:keepNext/>
              <w:spacing w:before="0" w:after="0" w:line="240" w:lineRule="auto"/>
              <w:jc w:val="left"/>
              <w:ind w:firstLine="0"/>
            </w:pPr>
            <w:r>
              <w:rPr>
                <w:sz w:val="24"/>
                <w:szCs w:val="24"/>
              </w:rPr>
              <w:t xml:space="preserve">Образование</w:t>
            </w:r>
          </w:p>
        </w:tc>
        <w:tc>
          <w:tcPr/>
          <w:p>
            <w:pPr>
              <w:pStyle w:val="Compact"/>
              <w:keepNext/>
              <w:spacing w:before="0" w:after="0" w:line="240" w:lineRule="auto"/>
              <w:jc w:val="left"/>
              <w:ind w:firstLine="0"/>
            </w:pPr>
            <w:r>
              <w:rPr>
                <w:rStyle w:val="VerbatimChar"/>
                <w:sz w:val="24"/>
                <w:szCs w:val="24"/>
              </w:rPr>
              <w:t xml:space="preserve">education.courses.read</w:t>
            </w:r>
          </w:p>
        </w:tc>
        <w:tc>
          <w:tcPr/>
          <w:p>
            <w:pPr>
              <w:pStyle w:val="Compact"/>
              <w:keepNext/>
              <w:spacing w:before="0" w:after="0" w:line="240" w:lineRule="auto"/>
              <w:jc w:val="left"/>
              <w:ind w:firstLine="0"/>
            </w:pPr>
            <w:r>
              <w:rPr>
                <w:sz w:val="24"/>
                <w:szCs w:val="24"/>
              </w:rPr>
              <w:t xml:space="preserve">Просмотр учебных курсов и тем</w:t>
            </w:r>
          </w:p>
        </w:tc>
        <w:tc>
          <w:tcPr/>
          <w:p>
            <w:pPr>
              <w:pStyle w:val="Compact"/>
              <w:keepNext/>
              <w:spacing w:before="0" w:after="0" w:line="240" w:lineRule="auto"/>
              <w:jc w:val="left"/>
              <w:ind w:firstLine="0"/>
            </w:pPr>
            <w:r>
              <w:rPr>
                <w:sz w:val="24"/>
                <w:szCs w:val="24"/>
              </w:rPr>
              <w:t xml:space="preserve">Все</w:t>
            </w:r>
          </w:p>
        </w:tc>
      </w:tr>
      <w:tr>
        <w:trPr>
          <w:cantSplit/>
        </w:trPr>
        <w:tc>
          <w:tcPr/>
          <w:p>
            <w:pPr>
              <w:pStyle w:val="Compact"/>
              <w:keepNext/>
              <w:spacing w:before="0" w:after="0" w:line="240" w:lineRule="auto"/>
              <w:jc w:val="left"/>
              <w:ind w:firstLine="0"/>
            </w:pPr>
            <w:r>
              <w:rPr>
                <w:sz w:val="24"/>
                <w:szCs w:val="24"/>
              </w:rPr>
              <w:t xml:space="preserve">Образование</w:t>
            </w:r>
          </w:p>
        </w:tc>
        <w:tc>
          <w:tcPr/>
          <w:p>
            <w:pPr>
              <w:pStyle w:val="Compact"/>
              <w:keepNext/>
              <w:spacing w:before="0" w:after="0" w:line="240" w:lineRule="auto"/>
              <w:jc w:val="left"/>
              <w:ind w:firstLine="0"/>
            </w:pPr>
            <w:r>
              <w:rPr>
                <w:rStyle w:val="VerbatimChar"/>
                <w:sz w:val="24"/>
                <w:szCs w:val="24"/>
              </w:rPr>
              <w:t xml:space="preserve">education.courses.manage</w:t>
            </w:r>
          </w:p>
        </w:tc>
        <w:tc>
          <w:tcPr/>
          <w:p>
            <w:pPr>
              <w:pStyle w:val="Compact"/>
              <w:keepNext/>
              <w:spacing w:before="0" w:after="0" w:line="240" w:lineRule="auto"/>
              <w:jc w:val="left"/>
              <w:ind w:firstLine="0"/>
            </w:pPr>
            <w:r>
              <w:rPr>
                <w:sz w:val="24"/>
                <w:szCs w:val="24"/>
              </w:rPr>
              <w:t xml:space="preserve">Создание и изменение курсов и тем</w:t>
            </w:r>
          </w:p>
        </w:tc>
        <w:tc>
          <w:tcPr/>
          <w:p>
            <w:pPr>
              <w:pStyle w:val="Compact"/>
              <w:keepNext/>
              <w:spacing w:before="0" w:after="0" w:line="240" w:lineRule="auto"/>
              <w:jc w:val="left"/>
              <w:ind w:firstLine="0"/>
            </w:pPr>
            <w:r>
              <w:rPr>
                <w:sz w:val="24"/>
                <w:szCs w:val="24"/>
              </w:rPr>
              <w:t xml:space="preserve">Администратор, Преподаватель</w:t>
            </w:r>
          </w:p>
        </w:tc>
      </w:tr>
      <w:tr>
        <w:trPr>
          <w:cantSplit/>
        </w:trPr>
        <w:tc>
          <w:tcPr/>
          <w:p>
            <w:pPr>
              <w:pStyle w:val="Compact"/>
              <w:keepNext/>
              <w:spacing w:before="0" w:after="0" w:line="240" w:lineRule="auto"/>
              <w:jc w:val="left"/>
              <w:ind w:firstLine="0"/>
            </w:pPr>
            <w:r>
              <w:rPr>
                <w:sz w:val="24"/>
                <w:szCs w:val="24"/>
              </w:rPr>
              <w:t xml:space="preserve">Мониторинг</w:t>
            </w:r>
          </w:p>
        </w:tc>
        <w:tc>
          <w:tcPr/>
          <w:p>
            <w:pPr>
              <w:pStyle w:val="Compact"/>
              <w:keepNext/>
              <w:spacing w:before="0" w:after="0" w:line="240" w:lineRule="auto"/>
              <w:jc w:val="left"/>
              <w:ind w:firstLine="0"/>
            </w:pPr>
            <w:r>
              <w:rPr>
                <w:rStyle w:val="VerbatimChar"/>
                <w:sz w:val="24"/>
                <w:szCs w:val="24"/>
              </w:rPr>
              <w:t xml:space="preserve">monitoring.logs.read</w:t>
            </w:r>
          </w:p>
        </w:tc>
        <w:tc>
          <w:tcPr/>
          <w:p>
            <w:pPr>
              <w:pStyle w:val="Compact"/>
              <w:keepNext/>
              <w:spacing w:before="0" w:after="0" w:line="240" w:lineRule="auto"/>
              <w:jc w:val="left"/>
              <w:ind w:firstLine="0"/>
            </w:pPr>
            <w:r>
              <w:rPr>
                <w:sz w:val="24"/>
                <w:szCs w:val="24"/>
              </w:rPr>
              <w:t xml:space="preserve">Просмотр аудитных и системных журналов</w:t>
            </w:r>
          </w:p>
        </w:tc>
        <w:tc>
          <w:tcPr/>
          <w:p>
            <w:pPr>
              <w:pStyle w:val="Compact"/>
              <w:keepNex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permissions.roles.manage</w:t>
            </w:r>
          </w:p>
        </w:tc>
        <w:tc>
          <w:tcPr/>
          <w:p>
            <w:pPr>
              <w:pStyle w:val="Compact"/>
              <w:spacing w:before="0" w:after="0" w:line="240" w:lineRule="auto"/>
              <w:jc w:val="left"/>
              <w:ind w:firstLine="0"/>
            </w:pPr>
            <w:r>
              <w:rPr>
                <w:sz w:val="24"/>
                <w:szCs w:val="24"/>
              </w:rPr>
              <w:t xml:space="preserve">Управление ролями и грантами</w:t>
            </w:r>
          </w:p>
        </w:tc>
        <w:tc>
          <w:tcPr/>
          <w:p>
            <w:pPr>
              <w:pStyle w:val="Compact"/>
              <w:spacing w:before="0" w:after="0" w:line="240" w:lineRule="auto"/>
              <w:jc w:val="left"/>
              <w:ind w:firstLine="0"/>
            </w:pPr>
            <w:r>
              <w:rPr>
                <w:sz w:val="24"/>
                <w:szCs w:val="24"/>
              </w:rPr>
              <w:t xml:space="preserve">Администратор</w:t>
            </w:r>
          </w:p>
        </w:tc>
      </w:tr>
    </w:tbl>
    <w:p>
      <w:pPr>
        <w:pStyle w:val="BodyText"/>
      </w:pPr>
      <w:r>
        <w:rPr>
          <w:b/>
          <w:bCs/>
        </w:rPr>
        <w:t xml:space="preserve">Матрица атрибутов ABAC.</w:t>
      </w:r>
      <w:r>
        <w:t xml:space="preserve"> </w:t>
      </w:r>
      <w:r>
        <w:t xml:space="preserve">Для точечной проверки прав (Resource-scoped access) точка принятия решения использует набор атрибутов, извлекаемых из различных точек предоставления информации (PIP), приведённый в таблице 3.3.</w:t>
      </w:r>
    </w:p>
    <w:p>
      <w:pPr>
        <w:pStyle w:val="BodyText"/>
        <w:keepNext/>
        <w:spacing w:before="240" w:after="60" w:line="240" w:lineRule="auto"/>
        <w:ind w:firstLine="0"/>
        <w:jc w:val="start"/>
      </w:pPr>
      <w:r>
        <w:rPr>
          <w:sz w:val="24"/>
          <w:szCs w:val="24"/>
        </w:rPr>
        <w:t xml:space="preserve">Таблица 3.3 — Матрица атрибутов модели доступа платформы</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Категория</w:t>
            </w:r>
          </w:p>
        </w:tc>
        <w:tc>
          <w:tcPr/>
          <w:p>
            <w:pPr>
              <w:pStyle w:val="Compact"/>
              <w:keepNext/>
              <w:spacing w:before="0" w:after="0" w:line="240" w:lineRule="auto"/>
              <w:jc w:val="left"/>
              <w:ind w:firstLine="0"/>
            </w:pPr>
            <w:r>
              <w:rPr>
                <w:sz w:val="24"/>
                <w:szCs w:val="24"/>
              </w:rPr>
              <w:t xml:space="preserve">Атрибут</w:t>
            </w:r>
          </w:p>
        </w:tc>
        <w:tc>
          <w:tcPr/>
          <w:p>
            <w:pPr>
              <w:pStyle w:val="Compact"/>
              <w:keepNext/>
              <w:spacing w:before="0" w:after="0" w:line="240" w:lineRule="auto"/>
              <w:jc w:val="left"/>
              <w:ind w:firstLine="0"/>
            </w:pPr>
            <w:r>
              <w:rPr>
                <w:sz w:val="24"/>
                <w:szCs w:val="24"/>
              </w:rPr>
              <w:t xml:space="preserve">Источник (PIP)</w:t>
            </w:r>
          </w:p>
        </w:tc>
        <w:tc>
          <w:tcPr/>
          <w:p>
            <w:pPr>
              <w:pStyle w:val="Compact"/>
              <w:keepNext/>
              <w:spacing w:before="0" w:after="0" w:line="240" w:lineRule="auto"/>
              <w:jc w:val="left"/>
              <w:ind w:firstLine="0"/>
            </w:pPr>
            <w:r>
              <w:rPr>
                <w:sz w:val="24"/>
                <w:szCs w:val="24"/>
              </w:rPr>
              <w:t xml:space="preserve">Роль в политике безопасности</w:t>
            </w:r>
          </w:p>
        </w:tc>
      </w:tr>
      <w:tr>
        <w:trPr>
          <w:cantSplit/>
        </w:trPr>
        <w:tc>
          <w:tcPr/>
          <w:p>
            <w:pPr>
              <w:pStyle w:val="Compact"/>
              <w:keepNext/>
              <w:spacing w:before="0" w:after="0" w:line="240" w:lineRule="auto"/>
              <w:jc w:val="left"/>
              <w:ind w:firstLine="0"/>
            </w:pPr>
            <w:r>
              <w:rPr>
                <w:sz w:val="24"/>
                <w:szCs w:val="24"/>
              </w:rPr>
              <w:t xml:space="preserve">Субъект</w:t>
            </w:r>
          </w:p>
        </w:tc>
        <w:tc>
          <w:tcPr/>
          <w:p>
            <w:pPr>
              <w:pStyle w:val="Compact"/>
              <w:keepNext/>
              <w:spacing w:before="0" w:after="0" w:line="240" w:lineRule="auto"/>
              <w:jc w:val="left"/>
              <w:ind w:firstLine="0"/>
            </w:pPr>
            <w:r>
              <w:rPr>
                <w:rStyle w:val="VerbatimChar"/>
                <w:sz w:val="24"/>
                <w:szCs w:val="24"/>
              </w:rPr>
              <w:t xml:space="preserve">realm_role</w:t>
            </w:r>
          </w:p>
        </w:tc>
        <w:tc>
          <w:tcPr/>
          <w:p>
            <w:pPr>
              <w:pStyle w:val="Compact"/>
              <w:keepNext/>
              <w:spacing w:before="0" w:after="0" w:line="240" w:lineRule="auto"/>
              <w:jc w:val="left"/>
              <w:ind w:firstLine="0"/>
            </w:pPr>
            <w:r>
              <w:rPr>
                <w:sz w:val="24"/>
                <w:szCs w:val="24"/>
              </w:rPr>
              <w:t xml:space="preserve">Keycloak (JWT)</w:t>
            </w:r>
          </w:p>
        </w:tc>
        <w:tc>
          <w:tcPr/>
          <w:p>
            <w:pPr>
              <w:pStyle w:val="Compact"/>
              <w:keepNext/>
              <w:spacing w:before="0" w:after="0" w:line="240" w:lineRule="auto"/>
              <w:jc w:val="left"/>
              <w:ind w:firstLine="0"/>
            </w:pPr>
            <w:r>
              <w:rPr>
                <w:sz w:val="24"/>
                <w:szCs w:val="24"/>
              </w:rPr>
              <w:t xml:space="preserve">Базовая классификация пользователя</w:t>
            </w:r>
          </w:p>
        </w:tc>
      </w:tr>
      <w:tr>
        <w:trPr>
          <w:cantSplit/>
        </w:trPr>
        <w:tc>
          <w:tcPr/>
          <w:p>
            <w:pPr>
              <w:pStyle w:val="Compact"/>
              <w:keepNext/>
              <w:spacing w:before="0" w:after="0" w:line="240" w:lineRule="auto"/>
              <w:jc w:val="left"/>
              <w:ind w:firstLine="0"/>
            </w:pPr>
            <w:r>
              <w:rPr>
                <w:sz w:val="24"/>
                <w:szCs w:val="24"/>
              </w:rPr>
              <w:t xml:space="preserve">Субъект</w:t>
            </w:r>
          </w:p>
        </w:tc>
        <w:tc>
          <w:tcPr/>
          <w:p>
            <w:pPr>
              <w:pStyle w:val="Compact"/>
              <w:keepNext/>
              <w:spacing w:before="0" w:after="0" w:line="240" w:lineRule="auto"/>
              <w:jc w:val="left"/>
              <w:ind w:firstLine="0"/>
            </w:pPr>
            <w:r>
              <w:rPr>
                <w:rStyle w:val="VerbatimChar"/>
                <w:sz w:val="24"/>
                <w:szCs w:val="24"/>
              </w:rPr>
              <w:t xml:space="preserve">is_active</w:t>
            </w:r>
          </w:p>
        </w:tc>
        <w:tc>
          <w:tcPr/>
          <w:p>
            <w:pPr>
              <w:pStyle w:val="Compact"/>
              <w:keepNext/>
              <w:spacing w:before="0" w:after="0" w:line="240" w:lineRule="auto"/>
              <w:jc w:val="left"/>
              <w:ind w:firstLine="0"/>
            </w:pPr>
            <w:r>
              <w:rPr>
                <w:sz w:val="24"/>
                <w:szCs w:val="24"/>
              </w:rPr>
              <w:t xml:space="preserve">PostgreSQL</w:t>
            </w:r>
          </w:p>
        </w:tc>
        <w:tc>
          <w:tcPr/>
          <w:p>
            <w:pPr>
              <w:pStyle w:val="Compact"/>
              <w:keepNext/>
              <w:spacing w:before="0" w:after="0" w:line="240" w:lineRule="auto"/>
              <w:jc w:val="left"/>
              <w:ind w:firstLine="0"/>
            </w:pPr>
            <w:r>
              <w:rPr>
                <w:sz w:val="24"/>
                <w:szCs w:val="24"/>
              </w:rPr>
              <w:t xml:space="preserve">Проверка блокировки учётной записи</w:t>
            </w:r>
          </w:p>
        </w:tc>
      </w:tr>
      <w:tr>
        <w:trPr>
          <w:cantSplit/>
        </w:trPr>
        <w:tc>
          <w:tcPr/>
          <w:p>
            <w:pPr>
              <w:pStyle w:val="Compact"/>
              <w:keepNext/>
              <w:spacing w:before="0" w:after="0" w:line="240" w:lineRule="auto"/>
              <w:jc w:val="left"/>
              <w:ind w:firstLine="0"/>
            </w:pPr>
            <w:r>
              <w:rPr>
                <w:sz w:val="24"/>
                <w:szCs w:val="24"/>
              </w:rPr>
              <w:t xml:space="preserve">Субъект</w:t>
            </w:r>
          </w:p>
        </w:tc>
        <w:tc>
          <w:tcPr/>
          <w:p>
            <w:pPr>
              <w:pStyle w:val="Compact"/>
              <w:keepNext/>
              <w:spacing w:before="0" w:after="0" w:line="240" w:lineRule="auto"/>
              <w:jc w:val="left"/>
              <w:ind w:firstLine="0"/>
            </w:pPr>
            <w:r>
              <w:rPr>
                <w:rStyle w:val="VerbatimChar"/>
                <w:sz w:val="24"/>
                <w:szCs w:val="24"/>
              </w:rPr>
              <w:t xml:space="preserve">group_membership</w:t>
            </w:r>
          </w:p>
        </w:tc>
        <w:tc>
          <w:tcPr/>
          <w:p>
            <w:pPr>
              <w:pStyle w:val="Compact"/>
              <w:keepNext/>
              <w:spacing w:before="0" w:after="0" w:line="240" w:lineRule="auto"/>
              <w:jc w:val="left"/>
              <w:ind w:firstLine="0"/>
            </w:pPr>
            <w:r>
              <w:rPr>
                <w:sz w:val="24"/>
                <w:szCs w:val="24"/>
              </w:rPr>
              <w:t xml:space="preserve">PostgreSQL</w:t>
            </w:r>
          </w:p>
        </w:tc>
        <w:tc>
          <w:tcPr/>
          <w:p>
            <w:pPr>
              <w:pStyle w:val="Compact"/>
              <w:keepNext/>
              <w:spacing w:before="0" w:after="0" w:line="240" w:lineRule="auto"/>
              <w:jc w:val="left"/>
              <w:ind w:firstLine="0"/>
            </w:pPr>
            <w:r>
              <w:rPr>
                <w:sz w:val="24"/>
                <w:szCs w:val="24"/>
              </w:rPr>
              <w:t xml:space="preserve">Список групп, в которых состоит студент</w:t>
            </w:r>
          </w:p>
        </w:tc>
      </w:tr>
      <w:tr>
        <w:trPr>
          <w:cantSplit/>
        </w:trPr>
        <w:tc>
          <w:tcPr/>
          <w:p>
            <w:pPr>
              <w:pStyle w:val="Compact"/>
              <w:keepNext/>
              <w:spacing w:before="0" w:after="0" w:line="240" w:lineRule="auto"/>
              <w:jc w:val="left"/>
              <w:ind w:firstLine="0"/>
            </w:pPr>
            <w:r>
              <w:rPr>
                <w:sz w:val="24"/>
                <w:szCs w:val="24"/>
              </w:rPr>
              <w:t xml:space="preserve">Объект</w:t>
            </w:r>
          </w:p>
        </w:tc>
        <w:tc>
          <w:tcPr/>
          <w:p>
            <w:pPr>
              <w:pStyle w:val="Compact"/>
              <w:keepNext/>
              <w:spacing w:before="0" w:after="0" w:line="240" w:lineRule="auto"/>
              <w:jc w:val="left"/>
              <w:ind w:firstLine="0"/>
            </w:pPr>
            <w:r>
              <w:rPr>
                <w:rStyle w:val="VerbatimChar"/>
                <w:sz w:val="24"/>
                <w:szCs w:val="24"/>
              </w:rPr>
              <w:t xml:space="preserve">creator_id</w:t>
            </w:r>
          </w:p>
        </w:tc>
        <w:tc>
          <w:tcPr/>
          <w:p>
            <w:pPr>
              <w:pStyle w:val="Compact"/>
              <w:keepNext/>
              <w:spacing w:before="0" w:after="0" w:line="240" w:lineRule="auto"/>
              <w:jc w:val="left"/>
              <w:ind w:firstLine="0"/>
            </w:pPr>
            <w:r>
              <w:rPr>
                <w:sz w:val="24"/>
                <w:szCs w:val="24"/>
              </w:rPr>
              <w:t xml:space="preserve">PostgreSQL</w:t>
            </w:r>
          </w:p>
        </w:tc>
        <w:tc>
          <w:tcPr/>
          <w:p>
            <w:pPr>
              <w:pStyle w:val="Compact"/>
              <w:keepNext/>
              <w:spacing w:before="0" w:after="0" w:line="240" w:lineRule="auto"/>
              <w:jc w:val="left"/>
              <w:ind w:firstLine="0"/>
            </w:pPr>
            <w:r>
              <w:rPr>
                <w:sz w:val="24"/>
                <w:szCs w:val="24"/>
              </w:rPr>
              <w:t xml:space="preserve">Идентификатор автора (владельца) ресурса</w:t>
            </w:r>
          </w:p>
        </w:tc>
      </w:tr>
      <w:tr>
        <w:trPr>
          <w:cantSplit/>
        </w:trPr>
        <w:tc>
          <w:tcPr/>
          <w:p>
            <w:pPr>
              <w:pStyle w:val="Compact"/>
              <w:keepNext/>
              <w:spacing w:before="0" w:after="0" w:line="240" w:lineRule="auto"/>
              <w:jc w:val="left"/>
              <w:ind w:firstLine="0"/>
            </w:pPr>
            <w:r>
              <w:rPr>
                <w:sz w:val="24"/>
                <w:szCs w:val="24"/>
              </w:rPr>
              <w:t xml:space="preserve">Объект</w:t>
            </w:r>
          </w:p>
        </w:tc>
        <w:tc>
          <w:tcPr/>
          <w:p>
            <w:pPr>
              <w:pStyle w:val="Compact"/>
              <w:keepNext/>
              <w:spacing w:before="0" w:after="0" w:line="240" w:lineRule="auto"/>
              <w:jc w:val="left"/>
              <w:ind w:firstLine="0"/>
            </w:pPr>
            <w:r>
              <w:rPr>
                <w:rStyle w:val="VerbatimChar"/>
                <w:sz w:val="24"/>
                <w:szCs w:val="24"/>
              </w:rPr>
              <w:t xml:space="preserve">topic_id</w:t>
            </w:r>
          </w:p>
        </w:tc>
        <w:tc>
          <w:tcPr/>
          <w:p>
            <w:pPr>
              <w:pStyle w:val="Compact"/>
              <w:keepNext/>
              <w:spacing w:before="0" w:after="0" w:line="240" w:lineRule="auto"/>
              <w:jc w:val="left"/>
              <w:ind w:firstLine="0"/>
            </w:pPr>
            <w:r>
              <w:rPr>
                <w:sz w:val="24"/>
                <w:szCs w:val="24"/>
              </w:rPr>
              <w:t xml:space="preserve">Метаданные / URL</w:t>
            </w:r>
          </w:p>
        </w:tc>
        <w:tc>
          <w:tcPr/>
          <w:p>
            <w:pPr>
              <w:pStyle w:val="Compact"/>
              <w:keepNext/>
              <w:spacing w:before="0" w:after="0" w:line="240" w:lineRule="auto"/>
              <w:jc w:val="left"/>
              <w:ind w:firstLine="0"/>
            </w:pPr>
            <w:r>
              <w:rPr>
                <w:sz w:val="24"/>
                <w:szCs w:val="24"/>
              </w:rPr>
              <w:t xml:space="preserve">Идентификатор проверяемого ресурса</w:t>
            </w:r>
          </w:p>
        </w:tc>
      </w:tr>
      <w:tr>
        <w:trPr>
          <w:cantSplit/>
        </w:trPr>
        <w:tc>
          <w:tcPr/>
          <w:p>
            <w:pPr>
              <w:pStyle w:val="Compact"/>
              <w:keepNext/>
              <w:spacing w:before="0" w:after="0" w:line="240" w:lineRule="auto"/>
              <w:jc w:val="left"/>
              <w:ind w:firstLine="0"/>
            </w:pPr>
            <w:r>
              <w:rPr>
                <w:sz w:val="24"/>
                <w:szCs w:val="24"/>
              </w:rPr>
              <w:t xml:space="preserve">Объект</w:t>
            </w:r>
          </w:p>
        </w:tc>
        <w:tc>
          <w:tcPr/>
          <w:p>
            <w:pPr>
              <w:pStyle w:val="Compact"/>
              <w:keepNext/>
              <w:spacing w:before="0" w:after="0" w:line="240" w:lineRule="auto"/>
              <w:jc w:val="left"/>
              <w:ind w:firstLine="0"/>
            </w:pPr>
            <w:r>
              <w:rPr>
                <w:rStyle w:val="VerbatimChar"/>
                <w:sz w:val="24"/>
                <w:szCs w:val="24"/>
              </w:rPr>
              <w:t xml:space="preserve">is_archived</w:t>
            </w:r>
          </w:p>
        </w:tc>
        <w:tc>
          <w:tcPr/>
          <w:p>
            <w:pPr>
              <w:pStyle w:val="Compact"/>
              <w:keepNext/>
              <w:spacing w:before="0" w:after="0" w:line="240" w:lineRule="auto"/>
              <w:jc w:val="left"/>
              <w:ind w:firstLine="0"/>
            </w:pPr>
            <w:r>
              <w:rPr>
                <w:sz w:val="24"/>
                <w:szCs w:val="24"/>
              </w:rPr>
              <w:t xml:space="preserve">PostgreSQL</w:t>
            </w:r>
          </w:p>
        </w:tc>
        <w:tc>
          <w:tcPr/>
          <w:p>
            <w:pPr>
              <w:pStyle w:val="Compact"/>
              <w:keepNext/>
              <w:spacing w:before="0" w:after="0" w:line="240" w:lineRule="auto"/>
              <w:jc w:val="left"/>
              <w:ind w:firstLine="0"/>
            </w:pPr>
            <w:r>
              <w:rPr>
                <w:sz w:val="24"/>
                <w:szCs w:val="24"/>
              </w:rPr>
              <w:t xml:space="preserve">Запрет действий с архивными данными</w:t>
            </w:r>
          </w:p>
        </w:tc>
      </w:tr>
      <w:tr>
        <w:trPr>
          <w:cantSplit/>
        </w:trPr>
        <w:tc>
          <w:tcPr/>
          <w:p>
            <w:pPr>
              <w:pStyle w:val="Compact"/>
              <w:keepNext/>
              <w:spacing w:before="0" w:after="0" w:line="240" w:lineRule="auto"/>
              <w:jc w:val="left"/>
              <w:ind w:firstLine="0"/>
            </w:pPr>
            <w:r>
              <w:rPr>
                <w:sz w:val="24"/>
                <w:szCs w:val="24"/>
              </w:rPr>
              <w:t xml:space="preserve">Окружение</w:t>
            </w:r>
          </w:p>
        </w:tc>
        <w:tc>
          <w:tcPr/>
          <w:p>
            <w:pPr>
              <w:pStyle w:val="Compact"/>
              <w:keepNext/>
              <w:spacing w:before="0" w:after="0" w:line="240" w:lineRule="auto"/>
              <w:jc w:val="left"/>
              <w:ind w:firstLine="0"/>
            </w:pPr>
            <w:r>
              <w:rPr>
                <w:rStyle w:val="VerbatimChar"/>
                <w:sz w:val="24"/>
                <w:szCs w:val="24"/>
              </w:rPr>
              <w:t xml:space="preserve">assignment_state</w:t>
            </w:r>
          </w:p>
        </w:tc>
        <w:tc>
          <w:tcPr/>
          <w:p>
            <w:pPr>
              <w:pStyle w:val="Compact"/>
              <w:keepNext/>
              <w:spacing w:before="0" w:after="0" w:line="240" w:lineRule="auto"/>
              <w:jc w:val="left"/>
              <w:ind w:firstLine="0"/>
            </w:pPr>
            <w:r>
              <w:rPr>
                <w:sz w:val="24"/>
                <w:szCs w:val="24"/>
              </w:rPr>
              <w:t xml:space="preserve">PostgreSQL</w:t>
            </w:r>
          </w:p>
        </w:tc>
        <w:tc>
          <w:tcPr/>
          <w:p>
            <w:pPr>
              <w:pStyle w:val="Compact"/>
              <w:keepNext/>
              <w:spacing w:before="0" w:after="0" w:line="240" w:lineRule="auto"/>
              <w:jc w:val="left"/>
              <w:ind w:firstLine="0"/>
            </w:pPr>
            <w:r>
              <w:rPr>
                <w:sz w:val="24"/>
                <w:szCs w:val="24"/>
              </w:rPr>
              <w:t xml:space="preserve">Наличие активного назначения темы группе</w:t>
            </w:r>
          </w:p>
        </w:tc>
      </w:tr>
      <w:tr>
        <w:trPr>
          <w:cantSplit/>
        </w:trPr>
        <w:tc>
          <w:tcPr/>
          <w:p>
            <w:pPr>
              <w:pStyle w:val="Compact"/>
              <w:spacing w:before="0" w:after="0" w:line="240" w:lineRule="auto"/>
              <w:jc w:val="left"/>
              <w:ind w:firstLine="0"/>
            </w:pPr>
            <w:r>
              <w:rPr>
                <w:sz w:val="24"/>
                <w:szCs w:val="24"/>
              </w:rPr>
              <w:t xml:space="preserve">Окружение</w:t>
            </w:r>
          </w:p>
        </w:tc>
        <w:tc>
          <w:tcPr/>
          <w:p>
            <w:pPr>
              <w:pStyle w:val="Compact"/>
              <w:spacing w:before="0" w:after="0" w:line="240" w:lineRule="auto"/>
              <w:jc w:val="left"/>
              <w:ind w:firstLine="0"/>
            </w:pPr>
            <w:r>
              <w:rPr>
                <w:rStyle w:val="VerbatimChar"/>
                <w:sz w:val="24"/>
                <w:szCs w:val="24"/>
              </w:rPr>
              <w:t xml:space="preserve">current_time</w:t>
            </w:r>
          </w:p>
        </w:tc>
        <w:tc>
          <w:tcPr/>
          <w:p>
            <w:pPr>
              <w:pStyle w:val="Compact"/>
              <w:spacing w:before="0" w:after="0" w:line="240" w:lineRule="auto"/>
              <w:jc w:val="left"/>
              <w:ind w:firstLine="0"/>
            </w:pPr>
            <w:r>
              <w:rPr>
                <w:sz w:val="24"/>
                <w:szCs w:val="24"/>
              </w:rPr>
              <w:t xml:space="preserve">Система</w:t>
            </w:r>
          </w:p>
        </w:tc>
        <w:tc>
          <w:tcPr/>
          <w:p>
            <w:pPr>
              <w:pStyle w:val="Compact"/>
              <w:spacing w:before="0" w:after="0" w:line="240" w:lineRule="auto"/>
              <w:jc w:val="left"/>
              <w:ind w:firstLine="0"/>
            </w:pPr>
            <w:r>
              <w:rPr>
                <w:sz w:val="24"/>
                <w:szCs w:val="24"/>
              </w:rPr>
              <w:t xml:space="preserve">Ограничение доступа по расписанию</w:t>
            </w:r>
          </w:p>
        </w:tc>
      </w:tr>
    </w:tbl>
    <w:p>
      <w:pPr>
        <w:pStyle w:val="BodyText"/>
      </w:pPr>
      <w:r>
        <w:t xml:space="preserve">Атрибутные правила конкретизируются для каждого домена. Доступ студента к учебному материалу предоставляется только при наличии активной цепочки «студент → учебная группа → назначенная дисциплина» при условии, что ни одна из связей не архивирована. Преподаватель получает доступ к управлению материалом не по одной лишь роли, а как создатель или соавтор дисциплины либо по принадлежности раздела, подраздела или теста к доступной ему дисциплине. Банк вопросов и тесты ограничены областью соответствующей дисциплины, а ответ, возвращаемый студенту, намеренно не содержит правильных вариантов и служебных полей. Доступ к файлам материалов авторизуется по связанному учебному ресурсу, а не по пути объекта в хранилище.</w:t>
      </w:r>
    </w:p>
    <w:p>
      <w:pPr>
        <w:pStyle w:val="BodyText"/>
      </w:pPr>
      <w:r>
        <w:rPr>
          <w:b/>
          <w:bCs/>
        </w:rPr>
        <w:t xml:space="preserve">Жизненный цикл полномочий.</w:t>
      </w:r>
      <w:r>
        <w:t xml:space="preserve"> </w:t>
      </w:r>
      <w:r>
        <w:t xml:space="preserve">Для согласованного развития системы зафиксирована строгая последовательность внедрения новых функций: регистрация новой возможности (</w:t>
      </w:r>
      <w:r>
        <w:rPr>
          <w:rStyle w:val="VerbatimChar"/>
        </w:rPr>
        <w:t xml:space="preserve">capability</w:t>
      </w:r>
      <w:r>
        <w:t xml:space="preserve">) в серверном реестре и документации; добавление правила её проверки в точку принятия решения; привязка ключа к элементам клиентского интерфейса; включение права в ответ метода</w:t>
      </w:r>
      <w:r>
        <w:t xml:space="preserve"> </w:t>
      </w:r>
      <w:r>
        <w:rPr>
          <w:rStyle w:val="VerbatimChar"/>
        </w:rPr>
        <w:t xml:space="preserve">/auth/me</w:t>
      </w:r>
      <w:r>
        <w:t xml:space="preserve"> </w:t>
      </w:r>
      <w:r>
        <w:t xml:space="preserve">для соответствующих групп пользователей. Программная реализация точек принятия и исполнения решений (PDP/PEP) рассматривается в главе 4.</w:t>
      </w:r>
    </w:p>
    <w:bookmarkEnd w:id="61"/>
    <w:bookmarkStart w:id="65" w:name="Xd876a093efa25209ffacc755cde178372403b5a"/>
    <w:p>
      <w:pPr>
        <w:pStyle w:val="2"/>
      </w:pPr>
      <w:r>
        <w:t xml:space="preserve">3.7. Контракт управления лабораторными средами</w:t>
      </w:r>
    </w:p>
    <w:p>
      <w:pPr>
        <w:pStyle w:val="FirstParagraph"/>
      </w:pPr>
      <w:r>
        <w:t xml:space="preserve">Запуск и остановка изолированных лабораторных сред спроектированы по асинхронной модели взаимодействия с инфраструктурным слоем. Прикладной сервис не обращается к оркестратору напрямую, а выступает инициатором: он проверяет права пользователя, фиксирует запись о лабораторной сессии в состоянии ожидания и публикует задачу в брокер сообщений RabbitMQ [26], после чего немедленно возвращает клиенту идентификатор задачи. Выполнением задачи занимается инфраструктурный слой (обработчики Celery [25]), который взаимодействует с Kubernetes: по мере выполнения он переводит лабораторную сессию из состояния ожидания в состояние «запущена» и фиксирует адрес подключения (</w:t>
      </w:r>
      <w:r>
        <w:rPr>
          <w:rStyle w:val="VerbatimChar"/>
        </w:rPr>
        <w:t xml:space="preserve">connection_url</w:t>
      </w:r>
      <w:r>
        <w:t xml:space="preserve">). Клиент периодически опрашивает статус и получает адрес подключения по готовности. Надёжность обеспечивается персистентностью задач в брокере и повторными попытками при временных сбоях, а детальное проектирование исполнения (создание подов, сетевые политики, очистка по таймауту) относится к инфраструктурному контуру. Последовательность взаимодействия приведена на рисунке 3.7.</w:t>
      </w:r>
    </w:p>
    <w:p>
      <w:pPr>
        <w:pStyle w:val="BodyText"/>
        <w:keepNext/>
        <w:spacing w:before="120" w:after="60" w:line="240" w:lineRule="auto"/>
        <w:ind w:firstLine="0"/>
        <w:jc w:val="center"/>
      </w:pPr>
      <w:r>
        <w:drawing>
          <wp:inline>
            <wp:extent cx="5930900" cy="3177267"/>
            <wp:effectExtent b="0" l="0" r="0" t="0"/>
            <wp:docPr descr="Диаграмма последовательности процессов развёртывания лабораторного окружения" title="" id="63" name="Picture"/>
            <a:graphic>
              <a:graphicData uri="http://schemas.openxmlformats.org/drawingml/2006/picture">
                <pic:pic>
                  <pic:nvPicPr>
                    <pic:cNvPr descr="./figures/lab-launch-sequence.png" id="64" name="Picture"/>
                    <pic:cNvPicPr>
                      <a:picLocks noChangeArrowheads="1" noChangeAspect="1"/>
                    </pic:cNvPicPr>
                  </pic:nvPicPr>
                  <pic:blipFill>
                    <a:blip r:embed="rId62"/>
                    <a:stretch>
                      <a:fillRect/>
                    </a:stretch>
                  </pic:blipFill>
                  <pic:spPr bwMode="auto">
                    <a:xfrm>
                      <a:off x="0" y="0"/>
                      <a:ext cx="5930900" cy="3177267"/>
                    </a:xfrm>
                    <a:prstGeom prst="rect">
                      <a:avLst/>
                    </a:prstGeom>
                    <a:noFill/>
                    <a:ln w="9525">
                      <a:noFill/>
                      <a:headEnd/>
                      <a:tailEnd/>
                    </a:ln>
                  </pic:spPr>
                </pic:pic>
              </a:graphicData>
            </a:graphic>
          </wp:inline>
        </w:drawing>
      </w:r>
      <w:r>
        <w:t xml:space="preserve"> </w:t>
      </w:r>
      <w:r>
        <w:t xml:space="preserve">Рисунок 3.7 — Диаграмма последовательности процессов развёртывания лабораторного окружения</w:t>
      </w:r>
    </w:p>
    <w:p>
      <w:pPr>
        <w:pStyle w:val="BodyText"/>
      </w:pPr>
      <w:r>
        <w:t xml:space="preserve">В третьей главе спроектирована серверная часть платформы: зафиксированы зоны ответственности между поставщиком аутентификации, серверной частью и инфраструктурным слоем, обоснован выбор технологического стека и архитектурных шаблонов, разработаны компонентная структура и логическая модель данных. Спроектирована гибридная модель доступа (RBAC + ABAC) с единым реестром возможностей, матрицей атрибутов и жизненным циклом полномочий, а управление лабораторными средами оформлено как асинхронный контракт с инфраструктурным слоем без расширения доверенной вычислительной базы прикладного сервиса. Полученные проектные решения служат основой для программной реализации, рассматриваемой в четвёртой главе.</w:t>
      </w:r>
    </w:p>
    <w:bookmarkEnd w:id="65"/>
    <w:bookmarkEnd w:id="66"/>
    <w:bookmarkStart w:id="95" w:name="X9c31f9e5957caf4636460d724bbc13fcba1b0cd"/>
    <w:p>
      <w:pPr>
        <w:pStyle w:val="1"/>
        <w:jc w:val="center"/>
        <w:ind w:firstLine="0"/>
      </w:pPr>
      <w:r>
        <w:t xml:space="preserve">4. РЕАЛИЗАЦИЯ СЕРВЕРНОЙ ЧАСТИ ПЛАТФОРМЫ И АПРОБАЦИЯ</w:t>
      </w:r>
    </w:p>
    <w:p>
      <w:pPr>
        <w:pStyle w:val="FirstParagraph"/>
      </w:pPr>
      <w:r>
        <w:t xml:space="preserve">В главе рассматривается программная реализация спроектированных в третьей главе решений: подсистемы разграничения доступа, интеграции с поставщиком аутентификации и автоматизации ввода пользователей и управления лабораторными работами, — а также приводятся результаты апробации на программном интерфейсе и сквозной сценарий использования платформы.</w:t>
      </w:r>
    </w:p>
    <w:bookmarkStart w:id="75" w:name="X43d88dcdc31ff54863a166abc64bb44f794e74a"/>
    <w:p>
      <w:pPr>
        <w:pStyle w:val="2"/>
      </w:pPr>
      <w:r>
        <w:t xml:space="preserve">4.1. Реализация подсистемы разграничения доступа</w:t>
      </w:r>
    </w:p>
    <w:p>
      <w:pPr>
        <w:pStyle w:val="FirstParagraph"/>
      </w:pPr>
      <w:r>
        <w:t xml:space="preserve">Спроектированная гибридная модель (подраздел 3.6) реализована на уровне REST API по схеме PDP/PEP. В роли</w:t>
      </w:r>
      <w:r>
        <w:t xml:space="preserve"> </w:t>
      </w:r>
      <w:r>
        <w:rPr>
          <w:b/>
          <w:bCs/>
        </w:rPr>
        <w:t xml:space="preserve">точки исполнения политики (PEP)</w:t>
      </w:r>
      <w:r>
        <w:t xml:space="preserve"> </w:t>
      </w:r>
      <w:r>
        <w:t xml:space="preserve">выступает слой промежуточной обработки в FastAPI и механизм инъекции зависимостей (</w:t>
      </w:r>
      <w:r>
        <w:rPr>
          <w:rStyle w:val="VerbatimChar"/>
        </w:rPr>
        <w:t xml:space="preserve">Depends</w:t>
      </w:r>
      <w:r>
        <w:t xml:space="preserve">): он перехватывает запрос, инициирует проверку требуемого полномочия (capability) и последующую ресурсную проверку, а при отказе завершает запрос кодом 403. Решение принимает</w:t>
      </w:r>
      <w:r>
        <w:t xml:space="preserve"> </w:t>
      </w:r>
      <w:r>
        <w:rPr>
          <w:b/>
          <w:bCs/>
        </w:rPr>
        <w:t xml:space="preserve">точка принятия решения (PDP)</w:t>
      </w:r>
      <w:r>
        <w:t xml:space="preserve"> </w:t>
      </w:r>
      <w:r>
        <w:t xml:space="preserve">— набор функций проверки доступа, которые обращаются за атрибутами к</w:t>
      </w:r>
      <w:r>
        <w:t xml:space="preserve"> </w:t>
      </w:r>
      <w:r>
        <w:rPr>
          <w:b/>
          <w:bCs/>
        </w:rPr>
        <w:t xml:space="preserve">точке предоставления информации (PIP)</w:t>
      </w:r>
      <w:r>
        <w:t xml:space="preserve"> </w:t>
      </w:r>
      <w:r>
        <w:t xml:space="preserve">— базе данных. Для снижения нагрузки на СУБД результаты ресурсных проверок кэшируются в Redis (обёртка</w:t>
      </w:r>
      <w:r>
        <w:t xml:space="preserve"> </w:t>
      </w:r>
      <w:r>
        <w:rPr>
          <w:rStyle w:val="VerbatimChar"/>
        </w:rPr>
        <w:t xml:space="preserve">get_or_set_access</w:t>
      </w:r>
      <w:r>
        <w:t xml:space="preserve">). Пример PDP-функции приведён в листинге 4.1.</w:t>
      </w:r>
    </w:p>
    <w:p>
      <w:pPr>
        <w:pStyle w:val="BodyText"/>
        <w:keepNext/>
        <w:spacing w:before="240" w:after="60" w:line="240" w:lineRule="auto"/>
        <w:ind w:firstLine="0"/>
        <w:jc w:val="start"/>
      </w:pPr>
      <w:r>
        <w:rPr>
          <w:sz w:val="24"/>
          <w:szCs w:val="24"/>
        </w:rPr>
        <w:t xml:space="preserve">Листинг 4.1 — Пример PDP-функции для проверки доступа студента к теме (ABAC)</w:t>
      </w:r>
    </w:p>
    <w:p>
      <w:pPr>
        <w:pStyle w:val="SourceCode"/>
        <w:wordWrap w:val="on"/>
        <w:spacing w:before="0" w:after="0" w:line="240" w:lineRule="auto"/>
        <w:ind w:firstLine="0"/>
      </w:pPr>
      <w:r>
        <w:rPr>
          <w:rStyle w:val="ControlFlowTok"/>
          <w:sz w:val="20"/>
          <w:szCs w:val="20"/>
        </w:rPr>
        <w:t xml:space="preserve">async</w:t>
      </w:r>
      <w:r>
        <w:rPr>
          <w:rStyle w:val="NormalTok"/>
          <w:sz w:val="20"/>
          <w:szCs w:val="20"/>
        </w:rPr>
        <w:t xml:space="preserve"> </w:t>
      </w:r>
      <w:r>
        <w:rPr>
          <w:rStyle w:val="KeywordTok"/>
          <w:sz w:val="20"/>
          <w:szCs w:val="20"/>
        </w:rPr>
        <w:t xml:space="preserve">def</w:t>
      </w:r>
      <w:r>
        <w:rPr>
          <w:rStyle w:val="NormalTok"/>
          <w:sz w:val="20"/>
          <w:szCs w:val="20"/>
        </w:rPr>
        <w:t xml:space="preserve"> check_student_topic_access(session: AsyncSession, user_id: </w:t>
      </w:r>
      <w:r>
        <w:rPr>
          <w:rStyle w:val="BuiltInTok"/>
          <w:sz w:val="20"/>
          <w:szCs w:val="20"/>
        </w:rPr>
        <w:t xml:space="preserve">int</w:t>
      </w:r>
      <w:r>
        <w:rPr>
          <w:rStyle w:val="NormalTok"/>
          <w:sz w:val="20"/>
          <w:szCs w:val="20"/>
        </w:rPr>
        <w:t xml:space="preserve">, topic_id: </w:t>
      </w:r>
      <w:r>
        <w:rPr>
          <w:rStyle w:val="BuiltInTok"/>
          <w:sz w:val="20"/>
          <w:szCs w:val="20"/>
        </w:rPr>
        <w:t xml:space="preserve">int</w:t>
      </w:r>
      <w:r>
        <w:rPr>
          <w:rStyle w:val="NormalTok"/>
          <w:sz w:val="20"/>
          <w:szCs w:val="20"/>
        </w:rPr>
        <w:t xml:space="preserve">) </w:t>
      </w:r>
      <w:r>
        <w:rPr>
          <w:rStyle w:val="OperatorTok"/>
          <w:sz w:val="20"/>
          <w:szCs w:val="20"/>
        </w:rPr>
        <w:t xml:space="preserve">-&gt;</w:t>
      </w:r>
      <w:r>
        <w:rPr>
          <w:rStyle w:val="NormalTok"/>
          <w:sz w:val="20"/>
          <w:szCs w:val="20"/>
        </w:rPr>
        <w:t xml:space="preserve"> </w:t>
      </w:r>
      <w:r>
        <w:rPr>
          <w:rStyle w:val="BuiltInTok"/>
          <w:sz w:val="20"/>
          <w:szCs w:val="20"/>
        </w:rPr>
        <w:t xml:space="preserve">bool</w:t>
      </w:r>
      <w:r>
        <w:rPr>
          <w:rStyle w:val="NormalTok"/>
          <w:sz w:val="20"/>
          <w:szCs w:val="20"/>
        </w:rPr>
        <w:t xml:space="preserve">:</w:t>
      </w:r>
      <w:r>
        <w:rPr>
          <w:sz w:val="20"/>
          <w:szCs w:val="20"/>
        </w:rPr>
        <w:br/>
      </w:r>
      <w:r>
        <w:rPr>
          <w:rStyle w:val="NormalTok"/>
          <w:sz w:val="20"/>
          <w:szCs w:val="20"/>
        </w:rPr>
        <w:t xml:space="preserve">    stmt </w:t>
      </w:r>
      <w:r>
        <w:rPr>
          <w:rStyle w:val="OperatorTok"/>
          <w:sz w:val="20"/>
          <w:szCs w:val="20"/>
        </w:rPr>
        <w:t xml:space="preserve">=</w:t>
      </w:r>
      <w:r>
        <w:rPr>
          <w:rStyle w:val="NormalTok"/>
          <w:sz w:val="20"/>
          <w:szCs w:val="20"/>
        </w:rPr>
        <w:t xml:space="preserve"> select(Topic).join(GroupTopics).join(Group).join(GroupStudents).where(</w:t>
      </w:r>
      <w:r>
        <w:rPr>
          <w:sz w:val="20"/>
          <w:szCs w:val="20"/>
        </w:rPr>
        <w:br/>
      </w:r>
      <w:r>
        <w:rPr>
          <w:rStyle w:val="NormalTok"/>
          <w:sz w:val="20"/>
          <w:szCs w:val="20"/>
        </w:rPr>
        <w:t xml:space="preserve">        GroupStudents.user_id </w:t>
      </w:r>
      <w:r>
        <w:rPr>
          <w:rStyle w:val="OperatorTok"/>
          <w:sz w:val="20"/>
          <w:szCs w:val="20"/>
        </w:rPr>
        <w:t xml:space="preserve">==</w:t>
      </w:r>
      <w:r>
        <w:rPr>
          <w:rStyle w:val="NormalTok"/>
          <w:sz w:val="20"/>
          <w:szCs w:val="20"/>
        </w:rPr>
        <w:t xml:space="preserve"> user_id,</w:t>
      </w:r>
      <w:r>
        <w:rPr>
          <w:sz w:val="20"/>
          <w:szCs w:val="20"/>
        </w:rPr>
        <w:br/>
      </w:r>
      <w:r>
        <w:rPr>
          <w:rStyle w:val="NormalTok"/>
          <w:sz w:val="20"/>
          <w:szCs w:val="20"/>
        </w:rPr>
        <w:t xml:space="preserve">        Topic.</w:t>
      </w:r>
      <w:r>
        <w:rPr>
          <w:rStyle w:val="BuiltInTok"/>
          <w:sz w:val="20"/>
          <w:szCs w:val="20"/>
        </w:rPr>
        <w:t xml:space="preserve">id</w:t>
      </w:r>
      <w:r>
        <w:rPr>
          <w:rStyle w:val="NormalTok"/>
          <w:sz w:val="20"/>
          <w:szCs w:val="20"/>
        </w:rPr>
        <w:t xml:space="preserve"> </w:t>
      </w:r>
      <w:r>
        <w:rPr>
          <w:rStyle w:val="OperatorTok"/>
          <w:sz w:val="20"/>
          <w:szCs w:val="20"/>
        </w:rPr>
        <w:t xml:space="preserve">==</w:t>
      </w:r>
      <w:r>
        <w:rPr>
          <w:rStyle w:val="NormalTok"/>
          <w:sz w:val="20"/>
          <w:szCs w:val="20"/>
        </w:rPr>
        <w:t xml:space="preserve"> topic_id,</w:t>
      </w:r>
      <w:r>
        <w:rPr>
          <w:sz w:val="20"/>
          <w:szCs w:val="20"/>
        </w:rPr>
        <w:br/>
      </w:r>
      <w:r>
        <w:rPr>
          <w:rStyle w:val="NormalTok"/>
          <w:sz w:val="20"/>
          <w:szCs w:val="20"/>
        </w:rPr>
        <w:t xml:space="preserve">        GroupStudents.status </w:t>
      </w:r>
      <w:r>
        <w:rPr>
          <w:rStyle w:val="OperatorTok"/>
          <w:sz w:val="20"/>
          <w:szCs w:val="20"/>
        </w:rPr>
        <w:t xml:space="preserve">==</w:t>
      </w:r>
      <w:r>
        <w:rPr>
          <w:rStyle w:val="NormalTok"/>
          <w:sz w:val="20"/>
          <w:szCs w:val="20"/>
        </w:rPr>
        <w:t xml:space="preserve"> GroupStudentStatus.ACTIVE,</w:t>
      </w:r>
      <w:r>
        <w:rPr>
          <w:sz w:val="20"/>
          <w:szCs w:val="20"/>
        </w:rPr>
        <w:br/>
      </w:r>
      <w:r>
        <w:rPr>
          <w:rStyle w:val="NormalTok"/>
          <w:sz w:val="20"/>
          <w:szCs w:val="20"/>
        </w:rPr>
        <w:t xml:space="preserve">        Topic.is_archived.is_(</w:t>
      </w:r>
      <w:r>
        <w:rPr>
          <w:rStyle w:val="VariableTok"/>
          <w:sz w:val="20"/>
          <w:szCs w:val="20"/>
        </w:rPr>
        <w:t xml:space="preserve">False</w:t>
      </w:r>
      <w:r>
        <w:rPr>
          <w:rStyle w:val="NormalTok"/>
          <w:sz w:val="20"/>
          <w:szCs w:val="20"/>
        </w:rPr>
        <w:t xml:space="preserve">)</w:t>
      </w:r>
      <w:r>
        <w:rPr>
          <w:sz w:val="20"/>
          <w:szCs w:val="20"/>
        </w:rPr>
        <w:br/>
      </w:r>
      <w:r>
        <w:rPr>
          <w:rStyle w:val="NormalTok"/>
          <w:sz w:val="20"/>
          <w:szCs w:val="20"/>
        </w:rPr>
        <w:t xml:space="preserve">    )</w:t>
      </w:r>
      <w:r>
        <w:rPr>
          <w:sz w:val="20"/>
          <w:szCs w:val="20"/>
        </w:rPr>
        <w:br/>
      </w:r>
      <w:r>
        <w:rPr>
          <w:rStyle w:val="NormalTok"/>
          <w:sz w:val="20"/>
          <w:szCs w:val="20"/>
        </w:rPr>
        <w:t xml:space="preserve">    result </w:t>
      </w:r>
      <w:r>
        <w:rPr>
          <w:rStyle w:val="OperatorTok"/>
          <w:sz w:val="20"/>
          <w:szCs w:val="20"/>
        </w:rPr>
        <w:t xml:space="preserve">=</w:t>
      </w:r>
      <w:r>
        <w:rPr>
          <w:rStyle w:val="NormalTok"/>
          <w:sz w:val="20"/>
          <w:szCs w:val="20"/>
        </w:rPr>
        <w:t xml:space="preserve"> </w:t>
      </w:r>
      <w:r>
        <w:rPr>
          <w:rStyle w:val="ControlFlowTok"/>
          <w:sz w:val="20"/>
          <w:szCs w:val="20"/>
        </w:rPr>
        <w:t xml:space="preserve">await</w:t>
      </w:r>
      <w:r>
        <w:rPr>
          <w:rStyle w:val="NormalTok"/>
          <w:sz w:val="20"/>
          <w:szCs w:val="20"/>
        </w:rPr>
        <w:t xml:space="preserve"> session.execute(stmt)</w:t>
      </w:r>
      <w:r>
        <w:rPr>
          <w:sz w:val="20"/>
          <w:szCs w:val="20"/>
        </w:rPr>
        <w:br/>
      </w:r>
      <w:r>
        <w:rPr>
          <w:rStyle w:val="NormalTok"/>
          <w:sz w:val="20"/>
          <w:szCs w:val="20"/>
        </w:rPr>
        <w:t xml:space="preserve">    </w:t>
      </w:r>
      <w:r>
        <w:rPr>
          <w:rStyle w:val="ControlFlowTok"/>
          <w:sz w:val="20"/>
          <w:szCs w:val="20"/>
        </w:rPr>
        <w:t xml:space="preserve">return</w:t>
      </w:r>
      <w:r>
        <w:rPr>
          <w:rStyle w:val="NormalTok"/>
          <w:sz w:val="20"/>
          <w:szCs w:val="20"/>
        </w:rPr>
        <w:t xml:space="preserve"> result.scalar_one_or_none() </w:t>
      </w:r>
      <w:r>
        <w:rPr>
          <w:rStyle w:val="KeywordTok"/>
          <w:sz w:val="20"/>
          <w:szCs w:val="20"/>
        </w:rPr>
        <w:t xml:space="preserve">is</w:t>
      </w:r>
      <w:r>
        <w:rPr>
          <w:rStyle w:val="NormalTok"/>
          <w:sz w:val="20"/>
          <w:szCs w:val="20"/>
        </w:rPr>
        <w:t xml:space="preserve"> </w:t>
      </w:r>
      <w:r>
        <w:rPr>
          <w:rStyle w:val="KeywordTok"/>
          <w:sz w:val="20"/>
          <w:szCs w:val="20"/>
        </w:rPr>
        <w:t xml:space="preserve">not</w:t>
      </w:r>
      <w:r>
        <w:rPr>
          <w:rStyle w:val="NormalTok"/>
          <w:sz w:val="20"/>
          <w:szCs w:val="20"/>
        </w:rPr>
        <w:t xml:space="preserve"> </w:t>
      </w:r>
      <w:r>
        <w:rPr>
          <w:rStyle w:val="VariableTok"/>
          <w:sz w:val="20"/>
          <w:szCs w:val="20"/>
        </w:rPr>
        <w:t xml:space="preserve">None</w:t>
      </w:r>
    </w:p>
    <w:p>
      <w:pPr>
        <w:pStyle w:val="FirstParagraph"/>
      </w:pPr>
      <w:r>
        <w:t xml:space="preserve">Прохождение запроса через точки исполнения и принятия решения показано на рисунке 4.1.</w:t>
      </w:r>
    </w:p>
    <w:p>
      <w:pPr>
        <w:pStyle w:val="BodyText"/>
        <w:keepNext/>
        <w:spacing w:before="120" w:after="60" w:line="240" w:lineRule="auto"/>
        <w:ind w:firstLine="0"/>
        <w:jc w:val="center"/>
      </w:pPr>
      <w:r>
        <w:drawing>
          <wp:inline>
            <wp:extent cx="5930900" cy="8157872"/>
            <wp:effectExtent b="0" l="0" r="0" t="0"/>
            <wp:docPr descr="Прохождение запроса через точки PEP и PDP" title="" id="68" name="Picture"/>
            <a:graphic>
              <a:graphicData uri="http://schemas.openxmlformats.org/drawingml/2006/picture">
                <pic:pic>
                  <pic:nvPicPr>
                    <pic:cNvPr descr="./figures/pdp-pep-flow.png" id="69" name="Picture"/>
                    <pic:cNvPicPr>
                      <a:picLocks noChangeArrowheads="1" noChangeAspect="1"/>
                    </pic:cNvPicPr>
                  </pic:nvPicPr>
                  <pic:blipFill>
                    <a:blip r:embed="rId67"/>
                    <a:stretch>
                      <a:fillRect/>
                    </a:stretch>
                  </pic:blipFill>
                  <pic:spPr bwMode="auto">
                    <a:xfrm>
                      <a:off x="0" y="0"/>
                      <a:ext cx="5930900" cy="8157872"/>
                    </a:xfrm>
                    <a:prstGeom prst="rect">
                      <a:avLst/>
                    </a:prstGeom>
                    <a:noFill/>
                    <a:ln w="9525">
                      <a:noFill/>
                      <a:headEnd/>
                      <a:tailEnd/>
                    </a:ln>
                  </pic:spPr>
                </pic:pic>
              </a:graphicData>
            </a:graphic>
          </wp:inline>
        </w:drawing>
      </w:r>
      <w:r>
        <w:t xml:space="preserve"> </w:t>
      </w:r>
      <w:r>
        <w:t xml:space="preserve">Рисунок 4.1 — Прохождение запроса через точки исполнения (PEP) и принятия решения (PDP)</w:t>
      </w:r>
    </w:p>
    <w:p>
      <w:pPr>
        <w:pStyle w:val="BodyText"/>
      </w:pPr>
      <w:r>
        <w:t xml:space="preserve">Обозначения: PEP — точка исполнения политики; CAP — проверка наличия требуемого полномочия (capability); PDP — точка принятия решения; PIP — точка предоставления информации (PostgreSQL); Redis — кэш результатов проверок доступа; JWT — подписанный токен доступа.</w:t>
      </w:r>
    </w:p>
    <w:bookmarkStart w:id="73" w:name="ролевое-разграничение-rbac"/>
    <w:p>
      <w:pPr>
        <w:pStyle w:val="3"/>
      </w:pPr>
      <w:r>
        <w:t xml:space="preserve">4.1.1. Ролевое разграничение (RBAC)</w:t>
      </w:r>
    </w:p>
    <w:p>
      <w:pPr>
        <w:pStyle w:val="FirstParagraph"/>
      </w:pPr>
      <w:r>
        <w:t xml:space="preserve">Распределение доступа к характерным конечным точкам API по ролям приведено в таблице 4.1.</w:t>
      </w:r>
    </w:p>
    <w:p>
      <w:pPr>
        <w:pStyle w:val="BodyText"/>
        <w:keepNext/>
        <w:spacing w:before="240" w:after="60" w:line="240" w:lineRule="auto"/>
        <w:ind w:firstLine="0"/>
        <w:jc w:val="start"/>
      </w:pPr>
      <w:r>
        <w:rPr>
          <w:sz w:val="24"/>
          <w:szCs w:val="24"/>
        </w:rPr>
        <w:t xml:space="preserve">Таблица 4.1 — Распределение доступа к конечным точкам API по ролям</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980"/>
        <w:gridCol w:w="1980"/>
        <w:gridCol w:w="1980"/>
        <w:gridCol w:w="1980"/>
      </w:tblGrid>
      <w:tr>
        <w:trPr>
          <w:cantSplit/>
          <w:tblHeader w:val="on"/>
        </w:trPr>
        <w:tc>
          <w:tcPr/>
          <w:p>
            <w:pPr>
              <w:pStyle w:val="Compact"/>
              <w:keepNext/>
              <w:spacing w:before="0" w:after="0" w:line="240" w:lineRule="auto"/>
              <w:jc w:val="left"/>
              <w:ind w:firstLine="0"/>
            </w:pPr>
            <w:r>
              <w:rPr>
                <w:sz w:val="24"/>
                <w:szCs w:val="24"/>
              </w:rPr>
              <w:t xml:space="preserve">Конечная точка</w:t>
            </w:r>
          </w:p>
        </w:tc>
        <w:tc>
          <w:tcPr/>
          <w:p>
            <w:pPr>
              <w:pStyle w:val="Compact"/>
              <w:keepNext/>
              <w:spacing w:before="0" w:after="0" w:line="240" w:lineRule="auto"/>
              <w:jc w:val="left"/>
              <w:ind w:firstLine="0"/>
            </w:pPr>
            <w:r>
              <w:rPr>
                <w:sz w:val="24"/>
                <w:szCs w:val="24"/>
              </w:rPr>
              <w:t xml:space="preserve">Администратор</w:t>
            </w:r>
          </w:p>
        </w:tc>
        <w:tc>
          <w:tcPr/>
          <w:p>
            <w:pPr>
              <w:pStyle w:val="Compact"/>
              <w:keepNext/>
              <w:spacing w:before="0" w:after="0" w:line="240" w:lineRule="auto"/>
              <w:jc w:val="left"/>
              <w:ind w:firstLine="0"/>
            </w:pPr>
            <w:r>
              <w:rPr>
                <w:sz w:val="24"/>
                <w:szCs w:val="24"/>
              </w:rPr>
              <w:t xml:space="preserve">Преподаватель</w:t>
            </w:r>
          </w:p>
        </w:tc>
        <w:tc>
          <w:tcPr/>
          <w:p>
            <w:pPr>
              <w:pStyle w:val="Compact"/>
              <w:keepNext/>
              <w:spacing w:before="0" w:after="0" w:line="240" w:lineRule="auto"/>
              <w:jc w:val="left"/>
              <w:ind w:firstLine="0"/>
            </w:pPr>
            <w:r>
              <w:rPr>
                <w:sz w:val="24"/>
                <w:szCs w:val="24"/>
              </w:rPr>
              <w:t xml:space="preserve">Студент</w:t>
            </w:r>
          </w:p>
        </w:tc>
      </w:tr>
      <w:tr>
        <w:trPr>
          <w:cantSplit/>
        </w:trPr>
        <w:tc>
          <w:tcPr/>
          <w:p>
            <w:pPr>
              <w:pStyle w:val="Compact"/>
              <w:keepNext/>
              <w:spacing w:before="0" w:after="0" w:line="240" w:lineRule="auto"/>
              <w:jc w:val="left"/>
              <w:ind w:firstLine="0"/>
            </w:pPr>
            <w:r>
              <w:rPr>
                <w:rStyle w:val="VerbatimChar"/>
                <w:sz w:val="24"/>
                <w:szCs w:val="24"/>
              </w:rPr>
              <w:t xml:space="preserve">POST /api/v1/onboarding/teachers</w:t>
            </w:r>
          </w:p>
        </w:tc>
        <w:tc>
          <w:tcPr/>
          <w:p>
            <w:pPr>
              <w:pStyle w:val="Compact"/>
              <w:keepNext/>
              <w:spacing w:before="0" w:after="0" w:line="240" w:lineRule="auto"/>
              <w:jc w:val="left"/>
              <w:ind w:firstLine="0"/>
            </w:pPr>
            <w:r>
              <w:rPr>
                <w:sz w:val="24"/>
                <w:szCs w:val="24"/>
              </w:rPr>
              <w:t xml:space="preserve">201 Created</w:t>
            </w:r>
          </w:p>
        </w:tc>
        <w:tc>
          <w:tcPr/>
          <w:p>
            <w:pPr>
              <w:pStyle w:val="Compact"/>
              <w:keepNext/>
              <w:spacing w:before="0" w:after="0" w:line="240" w:lineRule="auto"/>
              <w:jc w:val="left"/>
              <w:ind w:firstLine="0"/>
            </w:pPr>
            <w:r>
              <w:rPr>
                <w:sz w:val="24"/>
                <w:szCs w:val="24"/>
              </w:rPr>
              <w:t xml:space="preserve">403 Forbidden</w:t>
            </w:r>
          </w:p>
        </w:tc>
        <w:tc>
          <w:tcPr/>
          <w:p>
            <w:pPr>
              <w:pStyle w:val="Compact"/>
              <w:keepNext/>
              <w:spacing w:before="0" w:after="0" w:line="240" w:lineRule="auto"/>
              <w:jc w:val="left"/>
              <w:ind w:firstLine="0"/>
            </w:pPr>
            <w:r>
              <w:rPr>
                <w:sz w:val="24"/>
                <w:szCs w:val="24"/>
              </w:rPr>
              <w:t xml:space="preserve">403 Forbidden</w:t>
            </w:r>
          </w:p>
        </w:tc>
      </w:tr>
      <w:tr>
        <w:trPr>
          <w:cantSplit/>
        </w:trPr>
        <w:tc>
          <w:tcPr/>
          <w:p>
            <w:pPr>
              <w:pStyle w:val="Compact"/>
              <w:keepNext/>
              <w:spacing w:before="0" w:after="0" w:line="240" w:lineRule="auto"/>
              <w:jc w:val="left"/>
              <w:ind w:firstLine="0"/>
            </w:pPr>
            <w:r>
              <w:rPr>
                <w:rStyle w:val="VerbatimChar"/>
                <w:sz w:val="24"/>
                <w:szCs w:val="24"/>
              </w:rPr>
              <w:t xml:space="preserve">POST /api/v1/groups/management</w:t>
            </w:r>
          </w:p>
        </w:tc>
        <w:tc>
          <w:tcPr/>
          <w:p>
            <w:pPr>
              <w:pStyle w:val="Compact"/>
              <w:keepNext/>
              <w:spacing w:before="0" w:after="0" w:line="240" w:lineRule="auto"/>
              <w:jc w:val="left"/>
              <w:ind w:firstLine="0"/>
            </w:pPr>
            <w:r>
              <w:rPr>
                <w:sz w:val="24"/>
                <w:szCs w:val="24"/>
              </w:rPr>
              <w:t xml:space="preserve">201 Created</w:t>
            </w:r>
          </w:p>
        </w:tc>
        <w:tc>
          <w:tcPr/>
          <w:p>
            <w:pPr>
              <w:pStyle w:val="Compact"/>
              <w:keepNext/>
              <w:spacing w:before="0" w:after="0" w:line="240" w:lineRule="auto"/>
              <w:jc w:val="left"/>
              <w:ind w:firstLine="0"/>
            </w:pPr>
            <w:r>
              <w:rPr>
                <w:sz w:val="24"/>
                <w:szCs w:val="24"/>
              </w:rPr>
              <w:t xml:space="preserve">201 Created</w:t>
            </w:r>
          </w:p>
        </w:tc>
        <w:tc>
          <w:tcPr/>
          <w:p>
            <w:pPr>
              <w:pStyle w:val="Compact"/>
              <w:keepNext/>
              <w:spacing w:before="0" w:after="0" w:line="240" w:lineRule="auto"/>
              <w:jc w:val="left"/>
              <w:ind w:firstLine="0"/>
            </w:pPr>
            <w:r>
              <w:rPr>
                <w:sz w:val="24"/>
                <w:szCs w:val="24"/>
              </w:rPr>
              <w:t xml:space="preserve">403 Forbidden</w:t>
            </w:r>
          </w:p>
        </w:tc>
      </w:tr>
      <w:tr>
        <w:trPr>
          <w:cantSplit/>
        </w:trPr>
        <w:tc>
          <w:tcPr/>
          <w:p>
            <w:pPr>
              <w:pStyle w:val="Compact"/>
              <w:keepNext/>
              <w:spacing w:before="0" w:after="0" w:line="240" w:lineRule="auto"/>
              <w:jc w:val="left"/>
              <w:ind w:firstLine="0"/>
            </w:pPr>
            <w:r>
              <w:rPr>
                <w:rStyle w:val="VerbatimChar"/>
                <w:sz w:val="24"/>
                <w:szCs w:val="24"/>
              </w:rPr>
              <w:t xml:space="preserve">POST /api/v1/questions</w:t>
            </w:r>
          </w:p>
        </w:tc>
        <w:tc>
          <w:tcPr/>
          <w:p>
            <w:pPr>
              <w:pStyle w:val="Compact"/>
              <w:keepNext/>
              <w:spacing w:before="0" w:after="0" w:line="240" w:lineRule="auto"/>
              <w:jc w:val="left"/>
              <w:ind w:firstLine="0"/>
            </w:pPr>
            <w:r>
              <w:rPr>
                <w:sz w:val="24"/>
                <w:szCs w:val="24"/>
              </w:rPr>
              <w:t xml:space="preserve">201 Created</w:t>
            </w:r>
          </w:p>
        </w:tc>
        <w:tc>
          <w:tcPr/>
          <w:p>
            <w:pPr>
              <w:pStyle w:val="Compact"/>
              <w:keepNext/>
              <w:spacing w:before="0" w:after="0" w:line="240" w:lineRule="auto"/>
              <w:jc w:val="left"/>
              <w:ind w:firstLine="0"/>
            </w:pPr>
            <w:r>
              <w:rPr>
                <w:sz w:val="24"/>
                <w:szCs w:val="24"/>
              </w:rPr>
              <w:t xml:space="preserve">201 Created</w:t>
            </w:r>
          </w:p>
        </w:tc>
        <w:tc>
          <w:tcPr/>
          <w:p>
            <w:pPr>
              <w:pStyle w:val="Compact"/>
              <w:keepNext/>
              <w:spacing w:before="0" w:after="0" w:line="240" w:lineRule="auto"/>
              <w:jc w:val="left"/>
              <w:ind w:firstLine="0"/>
            </w:pPr>
            <w:r>
              <w:rPr>
                <w:sz w:val="24"/>
                <w:szCs w:val="24"/>
              </w:rPr>
              <w:t xml:space="preserve">403 Forbidden</w:t>
            </w:r>
          </w:p>
        </w:tc>
      </w:tr>
      <w:tr>
        <w:trPr>
          <w:cantSplit/>
        </w:trPr>
        <w:tc>
          <w:tcPr/>
          <w:p>
            <w:pPr>
              <w:pStyle w:val="Compact"/>
              <w:keepNext/>
              <w:spacing w:before="0" w:after="0" w:line="240" w:lineRule="auto"/>
              <w:jc w:val="left"/>
              <w:ind w:firstLine="0"/>
            </w:pPr>
            <w:r>
              <w:rPr>
                <w:rStyle w:val="VerbatimChar"/>
                <w:sz w:val="24"/>
                <w:szCs w:val="24"/>
              </w:rPr>
              <w:t xml:space="preserve">GET /api/v1/topics</w:t>
            </w:r>
          </w:p>
        </w:tc>
        <w:tc>
          <w:tcPr/>
          <w:p>
            <w:pPr>
              <w:pStyle w:val="Compact"/>
              <w:keepNext/>
              <w:spacing w:before="0" w:after="0" w:line="240" w:lineRule="auto"/>
              <w:jc w:val="left"/>
              <w:ind w:firstLine="0"/>
            </w:pPr>
            <w:r>
              <w:rPr>
                <w:sz w:val="24"/>
                <w:szCs w:val="24"/>
              </w:rPr>
              <w:t xml:space="preserve">200 OK</w:t>
            </w:r>
          </w:p>
        </w:tc>
        <w:tc>
          <w:tcPr/>
          <w:p>
            <w:pPr>
              <w:pStyle w:val="Compact"/>
              <w:keepNext/>
              <w:spacing w:before="0" w:after="0" w:line="240" w:lineRule="auto"/>
              <w:jc w:val="left"/>
              <w:ind w:firstLine="0"/>
            </w:pPr>
            <w:r>
              <w:rPr>
                <w:sz w:val="24"/>
                <w:szCs w:val="24"/>
              </w:rPr>
              <w:t xml:space="preserve">200 OK</w:t>
            </w:r>
          </w:p>
        </w:tc>
        <w:tc>
          <w:tcPr/>
          <w:p>
            <w:pPr>
              <w:pStyle w:val="Compact"/>
              <w:keepNext/>
              <w:spacing w:before="0" w:after="0" w:line="240" w:lineRule="auto"/>
              <w:jc w:val="left"/>
              <w:ind w:firstLine="0"/>
            </w:pPr>
            <w:r>
              <w:rPr>
                <w:sz w:val="24"/>
                <w:szCs w:val="24"/>
              </w:rPr>
              <w:t xml:space="preserve">200 OK</w:t>
            </w:r>
          </w:p>
        </w:tc>
      </w:tr>
      <w:tr>
        <w:trPr>
          <w:cantSplit/>
        </w:trPr>
        <w:tc>
          <w:tcPr/>
          <w:p>
            <w:pPr>
              <w:pStyle w:val="Compact"/>
              <w:spacing w:before="0" w:after="0" w:line="240" w:lineRule="auto"/>
              <w:jc w:val="left"/>
              <w:ind w:firstLine="0"/>
            </w:pPr>
            <w:r>
              <w:rPr>
                <w:rStyle w:val="VerbatimChar"/>
                <w:sz w:val="24"/>
                <w:szCs w:val="24"/>
              </w:rPr>
              <w:t xml:space="preserve">GET /api/v1/auth/me</w:t>
            </w:r>
          </w:p>
        </w:tc>
        <w:tc>
          <w:tcPr/>
          <w:p>
            <w:pPr>
              <w:pStyle w:val="Compact"/>
              <w:spacing w:before="0" w:after="0" w:line="240" w:lineRule="auto"/>
              <w:jc w:val="left"/>
              <w:ind w:firstLine="0"/>
            </w:pPr>
            <w:r>
              <w:rPr>
                <w:sz w:val="24"/>
                <w:szCs w:val="24"/>
              </w:rPr>
              <w:t xml:space="preserve">200 OK</w:t>
            </w:r>
          </w:p>
        </w:tc>
        <w:tc>
          <w:tcPr/>
          <w:p>
            <w:pPr>
              <w:pStyle w:val="Compact"/>
              <w:spacing w:before="0" w:after="0" w:line="240" w:lineRule="auto"/>
              <w:jc w:val="left"/>
              <w:ind w:firstLine="0"/>
            </w:pPr>
            <w:r>
              <w:rPr>
                <w:sz w:val="24"/>
                <w:szCs w:val="24"/>
              </w:rPr>
              <w:t xml:space="preserve">200 OK</w:t>
            </w:r>
          </w:p>
        </w:tc>
        <w:tc>
          <w:tcPr/>
          <w:p>
            <w:pPr>
              <w:pStyle w:val="Compact"/>
              <w:spacing w:before="0" w:after="0" w:line="240" w:lineRule="auto"/>
              <w:jc w:val="left"/>
              <w:ind w:firstLine="0"/>
            </w:pPr>
            <w:r>
              <w:rPr>
                <w:sz w:val="24"/>
                <w:szCs w:val="24"/>
              </w:rPr>
              <w:t xml:space="preserve">200 OK</w:t>
            </w:r>
          </w:p>
        </w:tc>
      </w:tr>
    </w:tbl>
    <w:p>
      <w:pPr>
        <w:pStyle w:val="BodyText"/>
      </w:pPr>
      <w:r>
        <w:t xml:space="preserve">Распределение прав соответствует системному каталогу возможностей платформы (приложение А): операции онбординга доступны только администратору, управление дисциплинами и банком вопросов — администратору и преподавателю, а чтение учебных материалов и поднятие сессии — всем ролям с последующим ограничением конкретного ресурса на уровне ABAC. Системный каталог возможностей и его сопоставление ролям приведены на рисунке 4.2.</w:t>
      </w:r>
    </w:p>
    <w:p>
      <w:pPr>
        <w:sectPr>
          <w:footerReference r:id="rId8" w:type="default"/>
          <w:pgSz w:h="16838" w:w="11906"/>
          <w:pgMar w:bottom="1134" w:footer="709" w:gutter="0" w:header="709" w:left="1701" w:right="850" w:top="1134"/>
          <w:cols w:space="708"/>
          <w:docGrid w:linePitch="360"/>
        </w:sectPr>
      </w:pPr>
    </w:p>
    <w:p>
      <w:pPr>
        <w:pStyle w:val="BodyText"/>
        <w:keepNext/>
        <w:spacing w:before="120" w:after="60" w:line="240" w:lineRule="auto"/>
        <w:ind w:firstLine="0"/>
        <w:jc w:val="center"/>
      </w:pPr>
      <w:r>
        <w:drawing>
          <wp:inline>
            <wp:extent cx="5930900" cy="3191481"/>
            <wp:effectExtent b="0" l="0" r="0" t="0"/>
            <wp:docPr descr="Системный каталог возможностей платформы" title="" id="71" name="Picture"/>
            <a:graphic>
              <a:graphicData uri="http://schemas.openxmlformats.org/drawingml/2006/picture">
                <pic:pic>
                  <pic:nvPicPr>
                    <pic:cNvPr descr="./figures/02-redoc-permissions-catalog.png" id="72" name="Picture"/>
                    <pic:cNvPicPr>
                      <a:picLocks noChangeArrowheads="1" noChangeAspect="1"/>
                    </pic:cNvPicPr>
                  </pic:nvPicPr>
                  <pic:blipFill>
                    <a:blip r:embed="rId70"/>
                    <a:stretch>
                      <a:fillRect/>
                    </a:stretch>
                  </pic:blipFill>
                  <pic:spPr bwMode="auto">
                    <a:xfrm>
                      <a:off x="0" y="0"/>
                      <a:ext cx="5930900" cy="3191481"/>
                    </a:xfrm>
                    <a:prstGeom prst="rect">
                      <a:avLst/>
                    </a:prstGeom>
                    <a:noFill/>
                    <a:ln w="9525">
                      <a:noFill/>
                      <a:headEnd/>
                      <a:tailEnd/>
                    </a:ln>
                  </pic:spPr>
                </pic:pic>
              </a:graphicData>
            </a:graphic>
          </wp:inline>
        </w:drawing>
      </w:r>
    </w:p>
    <w:p>
      <w:pPr>
        <w:pStyle w:val="BodyText"/>
        <w:spacing w:before="60" w:after="240" w:line="240" w:lineRule="auto"/>
        <w:ind w:firstLine="0"/>
        <w:jc w:val="center"/>
        <w:sectPr>
          <w:footerReference r:id="rId8" w:type="default"/>
          <w:pgSz w:w="16838" w:h="11906" w:orient="landscape"/>
          <w:pgMar w:bottom="1134" w:footer="709" w:gutter="0" w:header="709" w:left="1701" w:right="850" w:top="1134"/>
          <w:cols w:space="708"/>
          <w:docGrid w:linePitch="360"/>
        </w:sectPr>
      </w:pPr>
      <w:r>
        <w:rPr>
          <w:sz w:val="24"/>
          <w:szCs w:val="24"/>
        </w:rPr>
        <w:t xml:space="preserve">Рисунок 4.2 — Системный каталог возможностей платформы (спецификация API)</w:t>
      </w:r>
    </w:p>
    <w:bookmarkEnd w:id="73"/>
    <w:bookmarkStart w:id="74" w:name="X8a94ed92844c1edd80201c32f572a5cfede2469"/>
    <w:p>
      <w:pPr>
        <w:pStyle w:val="3"/>
      </w:pPr>
      <w:r>
        <w:t xml:space="preserve">4.1.2. Контекстное (атрибутное) разграничение (ABAC)</w:t>
      </w:r>
    </w:p>
    <w:p>
      <w:pPr>
        <w:pStyle w:val="FirstParagraph"/>
      </w:pPr>
      <w:r>
        <w:t xml:space="preserve">Атрибутное разграничение действует поверх ролевого: доступ к учебному ресурсу (теме, разделу или тесту) предоставляется студенту только при наличии активной связи с учебной группой, которой назначена соответствующая дисциплина. Серверная часть отклоняет доступ к материалам, не входящим в активный учебный план студента, даже при наличии у него легитимного токена. Выдаваемые студенту данные попытки прохождения теста не содержат правильных ответов и служебных полей, а доступ к файлам материалов авторизуется через связанный учебный ресурс, а не по пути объекта в хранилище.</w:t>
      </w:r>
    </w:p>
    <w:bookmarkEnd w:id="74"/>
    <w:bookmarkEnd w:id="75"/>
    <w:bookmarkStart w:id="82" w:name="Xb4cd5b3790174aeee2559a52f62e2a4a59fc8a5"/>
    <w:p>
      <w:pPr>
        <w:pStyle w:val="2"/>
      </w:pPr>
      <w:r>
        <w:t xml:space="preserve">4.2. Интеграция с поставщиком аутентификации (Keycloak)</w:t>
      </w:r>
    </w:p>
    <w:p>
      <w:pPr>
        <w:pStyle w:val="FirstParagraph"/>
      </w:pPr>
      <w:r>
        <w:t xml:space="preserve">Поставщиком аутентификации выступает Keycloak [17]: серверная часть проверяет подлинность пользователя по протоколу OpenID Connect [23] (валидация токена по метаданным издателя и набору ключей JWKS) и не хранит пароли. Для браузерных клиентов применяется модель серверной сессии (backend-owned session): после входа серверная часть обменивает код авторизации на токены, хранит их на своей стороне в Redis, а браузеру выдаёт только идентификатор сессии в cookie с признаком HttpOnly, что исключает кражу токенов средствами межсайтового скриптинга (XSS) [18]. Поднятие текущего пользователя и его эффективных прав выполняется единым запросом</w:t>
      </w:r>
      <w:r>
        <w:t xml:space="preserve"> </w:t>
      </w:r>
      <w:r>
        <w:rPr>
          <w:rStyle w:val="VerbatimChar"/>
        </w:rPr>
        <w:t xml:space="preserve">GET /api/v1/auth/me</w:t>
      </w:r>
      <w:r>
        <w:t xml:space="preserve">, вход и выход — через</w:t>
      </w:r>
      <w:r>
        <w:t xml:space="preserve"> </w:t>
      </w:r>
      <w:r>
        <w:rPr>
          <w:rStyle w:val="VerbatimChar"/>
        </w:rPr>
        <w:t xml:space="preserve">GET /api/v1/auth/login</w:t>
      </w:r>
      <w:r>
        <w:t xml:space="preserve">,</w:t>
      </w:r>
      <w:r>
        <w:t xml:space="preserve"> </w:t>
      </w:r>
      <w:r>
        <w:rPr>
          <w:rStyle w:val="VerbatimChar"/>
        </w:rPr>
        <w:t xml:space="preserve">GET /api/v1/auth/callback</w:t>
      </w:r>
      <w:r>
        <w:t xml:space="preserve"> </w:t>
      </w:r>
      <w:r>
        <w:t xml:space="preserve">и</w:t>
      </w:r>
      <w:r>
        <w:t xml:space="preserve"> </w:t>
      </w:r>
      <w:r>
        <w:rPr>
          <w:rStyle w:val="VerbatimChar"/>
        </w:rPr>
        <w:t xml:space="preserve">POST /api/v1/auth/logout</w:t>
      </w:r>
      <w:r>
        <w:t xml:space="preserve">. Контракт инициализации сессии и состав эффективных прав, выдаваемых методом</w:t>
      </w:r>
      <w:r>
        <w:t xml:space="preserve"> </w:t>
      </w:r>
      <w:r>
        <w:rPr>
          <w:rStyle w:val="VerbatimChar"/>
        </w:rPr>
        <w:t xml:space="preserve">/auth/me</w:t>
      </w:r>
      <w:r>
        <w:t xml:space="preserve">, приведены на рисунке 4.3, а соответствующие системные роли во внешнем поставщике аутентификации — на рисунке 4.4.</w:t>
      </w:r>
    </w:p>
    <w:p>
      <w:pPr>
        <w:sectPr>
          <w:footerReference r:id="rId8" w:type="default"/>
          <w:pgSz w:h="16838" w:w="11906"/>
          <w:pgMar w:bottom="1134" w:footer="709" w:gutter="0" w:header="709" w:left="1701" w:right="850" w:top="1134"/>
          <w:cols w:space="708"/>
          <w:docGrid w:linePitch="360"/>
        </w:sectPr>
      </w:pPr>
    </w:p>
    <w:p>
      <w:pPr>
        <w:pStyle w:val="BodyText"/>
        <w:keepNext/>
        <w:spacing w:before="120" w:after="60" w:line="240" w:lineRule="auto"/>
        <w:ind w:firstLine="0"/>
        <w:jc w:val="center"/>
      </w:pPr>
      <w:r>
        <w:drawing>
          <wp:inline>
            <wp:extent cx="5930900" cy="4118680"/>
            <wp:effectExtent b="0" l="0" r="0" t="0"/>
            <wp:docPr descr="Контракт инициализации сессии GET /auth/me" title="" id="77" name="Picture"/>
            <a:graphic>
              <a:graphicData uri="http://schemas.openxmlformats.org/drawingml/2006/picture">
                <pic:pic>
                  <pic:nvPicPr>
                    <pic:cNvPr descr="./figures/01-redoc-auth-me.png" id="78" name="Picture"/>
                    <pic:cNvPicPr>
                      <a:picLocks noChangeArrowheads="1" noChangeAspect="1"/>
                    </pic:cNvPicPr>
                  </pic:nvPicPr>
                  <pic:blipFill>
                    <a:blip r:embed="rId76"/>
                    <a:stretch>
                      <a:fillRect/>
                    </a:stretch>
                  </pic:blipFill>
                  <pic:spPr bwMode="auto">
                    <a:xfrm>
                      <a:off x="0" y="0"/>
                      <a:ext cx="5930900" cy="4118680"/>
                    </a:xfrm>
                    <a:prstGeom prst="rect">
                      <a:avLst/>
                    </a:prstGeom>
                    <a:noFill/>
                    <a:ln w="9525">
                      <a:noFill/>
                      <a:headEnd/>
                      <a:tailEnd/>
                    </a:ln>
                  </pic:spPr>
                </pic:pic>
              </a:graphicData>
            </a:graphic>
          </wp:inline>
        </w:drawing>
      </w:r>
    </w:p>
    <w:p>
      <w:pPr>
        <w:pStyle w:val="BodyText"/>
        <w:spacing w:before="60" w:after="240" w:line="240" w:lineRule="auto"/>
        <w:ind w:firstLine="0"/>
        <w:jc w:val="center"/>
        <w:sectPr>
          <w:footerReference r:id="rId8" w:type="default"/>
          <w:pgSz w:w="16838" w:h="11906" w:orient="landscape"/>
          <w:pgMar w:bottom="1134" w:footer="709" w:gutter="0" w:header="709" w:left="1701" w:right="850" w:top="1134"/>
          <w:cols w:space="708"/>
          <w:docGrid w:linePitch="360"/>
        </w:sectPr>
      </w:pPr>
      <w:r>
        <w:rPr>
          <w:sz w:val="24"/>
          <w:szCs w:val="24"/>
        </w:rPr>
        <w:t xml:space="preserve">Рисунок 4.3 — Контракт инициализации сессии</w:t>
      </w:r>
      <w:r>
        <w:rPr>
          <w:sz w:val="24"/>
          <w:szCs w:val="24"/>
        </w:rPr>
        <w:t xml:space="preserve"> </w:t>
      </w:r>
      <w:r>
        <w:rPr>
          <w:rStyle w:val="VerbatimChar"/>
          <w:sz w:val="24"/>
          <w:szCs w:val="24"/>
        </w:rPr>
        <w:t xml:space="preserve">GET /api/v1/auth/me</w:t>
      </w:r>
      <w:r>
        <w:rPr>
          <w:sz w:val="24"/>
          <w:szCs w:val="24"/>
        </w:rPr>
        <w:t xml:space="preserve"> </w:t>
      </w:r>
      <w:r>
        <w:rPr>
          <w:sz w:val="24"/>
          <w:szCs w:val="24"/>
        </w:rPr>
        <w:t xml:space="preserve">(спецификация API)</w:t>
      </w:r>
    </w:p>
    <w:p>
      <w:pPr>
        <w:pStyle w:val="BodyText"/>
        <w:keepNext/>
        <w:spacing w:before="120" w:after="60" w:line="240" w:lineRule="auto"/>
        <w:ind w:firstLine="0"/>
        <w:jc w:val="center"/>
      </w:pPr>
      <w:r>
        <w:drawing>
          <wp:inline>
            <wp:extent cx="5930900" cy="3189403"/>
            <wp:effectExtent b="0" l="0" r="0" t="0"/>
            <wp:docPr descr="Системные роли пользователей в Keycloak" title="" id="80" name="Picture"/>
            <a:graphic>
              <a:graphicData uri="http://schemas.openxmlformats.org/drawingml/2006/picture">
                <pic:pic>
                  <pic:nvPicPr>
                    <pic:cNvPr descr="./figures/03-keycloak-realm-roles.png" id="81" name="Picture"/>
                    <pic:cNvPicPr>
                      <a:picLocks noChangeArrowheads="1" noChangeAspect="1"/>
                    </pic:cNvPicPr>
                  </pic:nvPicPr>
                  <pic:blipFill>
                    <a:blip r:embed="rId79"/>
                    <a:stretch>
                      <a:fillRect/>
                    </a:stretch>
                  </pic:blipFill>
                  <pic:spPr bwMode="auto">
                    <a:xfrm>
                      <a:off x="0" y="0"/>
                      <a:ext cx="5930900" cy="3189403"/>
                    </a:xfrm>
                    <a:prstGeom prst="rect">
                      <a:avLst/>
                    </a:prstGeom>
                    <a:noFill/>
                    <a:ln w="9525">
                      <a:noFill/>
                      <a:headEnd/>
                      <a:tailEnd/>
                    </a:ln>
                  </pic:spPr>
                </pic:pic>
              </a:graphicData>
            </a:graphic>
          </wp:inline>
        </w:drawing>
      </w:r>
    </w:p>
    <w:p>
      <w:pPr>
        <w:pStyle w:val="BodyText"/>
        <w:spacing w:before="60" w:after="240" w:line="240" w:lineRule="auto"/>
        <w:ind w:firstLine="0"/>
        <w:jc w:val="center"/>
        <w:sectPr>
          <w:footerReference r:id="rId8" w:type="default"/>
          <w:pgSz w:w="16838" w:h="11906" w:orient="landscape"/>
          <w:pgMar w:bottom="1134" w:footer="709" w:gutter="0" w:header="709" w:left="1701" w:right="850" w:top="1134"/>
          <w:cols w:space="708"/>
          <w:docGrid w:linePitch="360"/>
        </w:sectPr>
      </w:pPr>
      <w:r>
        <w:rPr>
          <w:sz w:val="24"/>
          <w:szCs w:val="24"/>
        </w:rPr>
        <w:t xml:space="preserve">Рисунок 4.4 — Системные роли пользователей во внешнем поставщике аутентификации (Keycloak)</w:t>
      </w:r>
    </w:p>
    <w:bookmarkEnd w:id="82"/>
    <w:bookmarkStart w:id="86" w:name="Xae583a41f7fae8caa77c37cbe5a5a508f900506"/>
    <w:p>
      <w:pPr>
        <w:pStyle w:val="2"/>
      </w:pPr>
      <w:r>
        <w:t xml:space="preserve">4.3. Автоматизация ввода пользователей (Onboarding)</w:t>
      </w:r>
    </w:p>
    <w:p>
      <w:pPr>
        <w:pStyle w:val="FirstParagraph"/>
      </w:pPr>
      <w:r>
        <w:t xml:space="preserve">Серверная часть выступает «ведущим» при регистрации пользователей: учётная запись создаётся во внешнем поставщике аутентификации через Keycloak Admin API, после чего в базе платформы сохраняется связанный профиль. Ввод пользователей автоматизирован через отдельный контур из пяти операций: создание преподавателя, создание учебной группы, назначение преподавателя в группу, массовый ввод студентов в группу и получение учётных данных. Для безопасной передачи учётных данных используется модель выдачи по запросу (Credential Receipt): вместо пароля операция создания возвращает одноразовую квитанцию (receipt); временный пароль раскрывается только через отдельный одноразовый</w:t>
      </w:r>
      <w:r>
        <w:t xml:space="preserve"> </w:t>
      </w:r>
      <w:r>
        <w:rPr>
          <w:rStyle w:val="VerbatimChar"/>
        </w:rPr>
        <w:t xml:space="preserve">consume</w:t>
      </w:r>
      <w:r>
        <w:t xml:space="preserve">-запрос и ограничен по времени жизни; при первом входе обязательна смена пароля. Удаление пользователей не выполняется напрямую — профиль архивируется или деактивируется, что сохраняет целостность учебной истории. Пример ответа сервера при создании профиля преподавателя приведён в листинге 4.2.</w:t>
      </w:r>
    </w:p>
    <w:p>
      <w:pPr>
        <w:pStyle w:val="BodyText"/>
        <w:keepNext/>
        <w:spacing w:before="240" w:after="60" w:line="240" w:lineRule="auto"/>
        <w:ind w:firstLine="0"/>
        <w:jc w:val="start"/>
      </w:pPr>
      <w:r>
        <w:rPr>
          <w:sz w:val="24"/>
          <w:szCs w:val="24"/>
        </w:rPr>
        <w:t xml:space="preserve">Листинг 4.2 — Структура ответа API при успешном Onboarding-процессе</w:t>
      </w:r>
    </w:p>
    <w:p>
      <w:pPr>
        <w:pStyle w:val="SourceCode"/>
        <w:wordWrap w:val="on"/>
        <w:spacing w:before="0" w:after="0" w:line="240" w:lineRule="auto"/>
        <w:ind w:firstLine="0"/>
      </w:pP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"profile"</w:t>
      </w:r>
      <w:r>
        <w:rPr>
          <w:rStyle w:val="FunctionTok"/>
          <w:sz w:val="20"/>
          <w:szCs w:val="20"/>
        </w:rPr>
        <w:t xml:space="preserve">:</w:t>
      </w:r>
      <w:r>
        <w:rPr>
          <w:rStyle w:val="NormalTok"/>
          <w:sz w:val="20"/>
          <w:szCs w:val="20"/>
        </w:rPr>
        <w:t xml:space="preserve"> </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"username"</w:t>
      </w:r>
      <w:r>
        <w:rPr>
          <w:rStyle w:val="FunctionTok"/>
          <w:sz w:val="20"/>
          <w:szCs w:val="20"/>
        </w:rPr>
        <w:t xml:space="preserve">:</w:t>
      </w:r>
      <w:r>
        <w:rPr>
          <w:rStyle w:val="NormalTok"/>
          <w:sz w:val="20"/>
          <w:szCs w:val="20"/>
        </w:rPr>
        <w:t xml:space="preserve"> </w:t>
      </w:r>
      <w:r>
        <w:rPr>
          <w:rStyle w:val="StringTok"/>
          <w:sz w:val="20"/>
          <w:szCs w:val="20"/>
        </w:rPr>
        <w:t xml:space="preserve">"ivanov_teacher"</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"role"</w:t>
      </w:r>
      <w:r>
        <w:rPr>
          <w:rStyle w:val="FunctionTok"/>
          <w:sz w:val="20"/>
          <w:szCs w:val="20"/>
        </w:rPr>
        <w:t xml:space="preserve">:</w:t>
      </w:r>
      <w:r>
        <w:rPr>
          <w:rStyle w:val="NormalTok"/>
          <w:sz w:val="20"/>
          <w:szCs w:val="20"/>
        </w:rPr>
        <w:t xml:space="preserve"> </w:t>
      </w:r>
      <w:r>
        <w:rPr>
          <w:rStyle w:val="StringTok"/>
          <w:sz w:val="20"/>
          <w:szCs w:val="20"/>
        </w:rPr>
        <w:t xml:space="preserve">"teacher"</w:t>
      </w:r>
      <w:r>
        <w:rPr>
          <w:sz w:val="20"/>
          <w:szCs w:val="20"/>
        </w:rPr>
        <w:br/>
      </w:r>
      <w:r>
        <w:rPr>
          <w:rStyle w:val="NormalTok"/>
          <w:sz w:val="20"/>
          <w:szCs w:val="20"/>
        </w:rPr>
        <w:t xml:space="preserve">  </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"provisioning"</w:t>
      </w:r>
      <w:r>
        <w:rPr>
          <w:rStyle w:val="FunctionTok"/>
          <w:sz w:val="20"/>
          <w:szCs w:val="20"/>
        </w:rPr>
        <w:t xml:space="preserve">:</w:t>
      </w:r>
      <w:r>
        <w:rPr>
          <w:rStyle w:val="NormalTok"/>
          <w:sz w:val="20"/>
          <w:szCs w:val="20"/>
        </w:rPr>
        <w:t xml:space="preserve"> </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"keycloak_user_exists"</w:t>
      </w:r>
      <w:r>
        <w:rPr>
          <w:rStyle w:val="FunctionTok"/>
          <w:sz w:val="20"/>
          <w:szCs w:val="20"/>
        </w:rPr>
        <w:t xml:space="preserve">:</w:t>
      </w:r>
      <w:r>
        <w:rPr>
          <w:rStyle w:val="NormalTok"/>
          <w:sz w:val="20"/>
          <w:szCs w:val="20"/>
        </w:rPr>
        <w:t xml:space="preserve"> </w:t>
      </w:r>
      <w:r>
        <w:rPr>
          <w:rStyle w:val="KeywordTok"/>
          <w:sz w:val="20"/>
          <w:szCs w:val="20"/>
        </w:rPr>
        <w:t xml:space="preserve">true</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"keycloak_sub"</w:t>
      </w:r>
      <w:r>
        <w:rPr>
          <w:rStyle w:val="FunctionTok"/>
          <w:sz w:val="20"/>
          <w:szCs w:val="20"/>
        </w:rPr>
        <w:t xml:space="preserve">:</w:t>
      </w:r>
      <w:r>
        <w:rPr>
          <w:rStyle w:val="NormalTok"/>
          <w:sz w:val="20"/>
          <w:szCs w:val="20"/>
        </w:rPr>
        <w:t xml:space="preserve"> </w:t>
      </w:r>
      <w:r>
        <w:rPr>
          <w:rStyle w:val="StringTok"/>
          <w:sz w:val="20"/>
          <w:szCs w:val="20"/>
        </w:rPr>
        <w:t xml:space="preserve">"550e8400-e29b-41d4-a716-446655440000"</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"local_profile_bound"</w:t>
      </w:r>
      <w:r>
        <w:rPr>
          <w:rStyle w:val="FunctionTok"/>
          <w:sz w:val="20"/>
          <w:szCs w:val="20"/>
        </w:rPr>
        <w:t xml:space="preserve">:</w:t>
      </w:r>
      <w:r>
        <w:rPr>
          <w:rStyle w:val="NormalTok"/>
          <w:sz w:val="20"/>
          <w:szCs w:val="20"/>
        </w:rPr>
        <w:t xml:space="preserve"> </w:t>
      </w:r>
      <w:r>
        <w:rPr>
          <w:rStyle w:val="KeywordTok"/>
          <w:sz w:val="20"/>
          <w:szCs w:val="20"/>
        </w:rPr>
        <w:t xml:space="preserve">true</w:t>
      </w:r>
      <w:r>
        <w:rPr>
          <w:sz w:val="20"/>
          <w:szCs w:val="20"/>
        </w:rPr>
        <w:br/>
      </w:r>
      <w:r>
        <w:rPr>
          <w:rStyle w:val="NormalTok"/>
          <w:sz w:val="20"/>
          <w:szCs w:val="20"/>
        </w:rPr>
        <w:t xml:space="preserve">  </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"credential_receipt"</w:t>
      </w:r>
      <w:r>
        <w:rPr>
          <w:rStyle w:val="FunctionTok"/>
          <w:sz w:val="20"/>
          <w:szCs w:val="20"/>
        </w:rPr>
        <w:t xml:space="preserve">:</w:t>
      </w:r>
      <w:r>
        <w:rPr>
          <w:rStyle w:val="NormalTok"/>
          <w:sz w:val="20"/>
          <w:szCs w:val="20"/>
        </w:rPr>
        <w:t xml:space="preserve"> </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"receipt_id"</w:t>
      </w:r>
      <w:r>
        <w:rPr>
          <w:rStyle w:val="FunctionTok"/>
          <w:sz w:val="20"/>
          <w:szCs w:val="20"/>
        </w:rPr>
        <w:t xml:space="preserve">:</w:t>
      </w:r>
      <w:r>
        <w:rPr>
          <w:rStyle w:val="NormalTok"/>
          <w:sz w:val="20"/>
          <w:szCs w:val="20"/>
        </w:rPr>
        <w:t xml:space="preserve"> </w:t>
      </w:r>
      <w:r>
        <w:rPr>
          <w:rStyle w:val="StringTok"/>
          <w:sz w:val="20"/>
          <w:szCs w:val="20"/>
        </w:rPr>
        <w:t xml:space="preserve">"b1f2c0a4"</w:t>
      </w:r>
      <w:r>
        <w:rPr>
          <w:rStyle w:val="FunctionTok"/>
          <w:sz w:val="20"/>
          <w:szCs w:val="20"/>
        </w:rPr>
        <w:t xml:space="preserve">,</w:t>
      </w:r>
      <w:r>
        <w:rPr>
          <w:sz w:val="20"/>
          <w:szCs w:val="20"/>
        </w:rPr>
        <w:br/>
      </w:r>
      <w:r>
        <w:rPr>
          <w:rStyle w:val="NormalTok"/>
          <w:sz w:val="20"/>
          <w:szCs w:val="20"/>
        </w:rPr>
        <w:t xml:space="preserve">    </w:t>
      </w:r>
      <w:r>
        <w:rPr>
          <w:rStyle w:val="DataTypeTok"/>
          <w:sz w:val="20"/>
          <w:szCs w:val="20"/>
        </w:rPr>
        <w:t xml:space="preserve">"expires_at"</w:t>
      </w:r>
      <w:r>
        <w:rPr>
          <w:rStyle w:val="FunctionTok"/>
          <w:sz w:val="20"/>
          <w:szCs w:val="20"/>
        </w:rPr>
        <w:t xml:space="preserve">:</w:t>
      </w:r>
      <w:r>
        <w:rPr>
          <w:rStyle w:val="NormalTok"/>
          <w:sz w:val="20"/>
          <w:szCs w:val="20"/>
        </w:rPr>
        <w:t xml:space="preserve"> </w:t>
      </w:r>
      <w:r>
        <w:rPr>
          <w:rStyle w:val="StringTok"/>
          <w:sz w:val="20"/>
          <w:szCs w:val="20"/>
        </w:rPr>
        <w:t xml:space="preserve">"2026-06-03T12:00:00Z"</w:t>
      </w:r>
      <w:r>
        <w:rPr>
          <w:sz w:val="20"/>
          <w:szCs w:val="20"/>
        </w:rPr>
        <w:br/>
      </w:r>
      <w:r>
        <w:rPr>
          <w:rStyle w:val="NormalTok"/>
          <w:sz w:val="20"/>
          <w:szCs w:val="20"/>
        </w:rPr>
        <w:t xml:space="preserve">  </w:t>
      </w:r>
      <w:r>
        <w:rPr>
          <w:rStyle w:val="FunctionTok"/>
          <w:sz w:val="20"/>
          <w:szCs w:val="20"/>
        </w:rPr>
        <w:t xml:space="preserve">}</w:t>
      </w:r>
      <w:r>
        <w:rPr>
          <w:sz w:val="20"/>
          <w:szCs w:val="20"/>
        </w:rPr>
        <w:br/>
      </w:r>
      <w:r>
        <w:rPr>
          <w:rStyle w:val="FunctionTok"/>
          <w:sz w:val="20"/>
          <w:szCs w:val="20"/>
        </w:rPr>
        <w:t xml:space="preserve">}</w:t>
      </w:r>
    </w:p>
    <w:p>
      <w:pPr>
        <w:pStyle w:val="FirstParagraph"/>
      </w:pPr>
      <w:r>
        <w:t xml:space="preserve">Последовательность синхронизации учётных данных при создании преподавателя приведена на рисунке 4.5.</w:t>
      </w:r>
    </w:p>
    <w:p>
      <w:pPr>
        <w:pStyle w:val="BodyText"/>
        <w:keepNext/>
        <w:spacing w:before="120" w:after="60" w:line="240" w:lineRule="auto"/>
        <w:ind w:firstLine="0"/>
        <w:jc w:val="center"/>
      </w:pPr>
      <w:r>
        <w:drawing>
          <wp:inline>
            <wp:extent cx="5930900" cy="2140873"/>
            <wp:effectExtent b="0" l="0" r="0" t="0"/>
            <wp:docPr descr="Алгоритм синхронизации учётных данных при вводе пользователя" title="" id="84" name="Picture"/>
            <a:graphic>
              <a:graphicData uri="http://schemas.openxmlformats.org/drawingml/2006/picture">
                <pic:pic>
                  <pic:nvPicPr>
                    <pic:cNvPr descr="./figures/onboarding-sequence.png" id="85" name="Picture"/>
                    <pic:cNvPicPr>
                      <a:picLocks noChangeArrowheads="1" noChangeAspect="1"/>
                    </pic:cNvPicPr>
                  </pic:nvPicPr>
                  <pic:blipFill>
                    <a:blip r:embed="rId83"/>
                    <a:stretch>
                      <a:fillRect/>
                    </a:stretch>
                  </pic:blipFill>
                  <pic:spPr bwMode="auto">
                    <a:xfrm>
                      <a:off x="0" y="0"/>
                      <a:ext cx="5930900" cy="2140873"/>
                    </a:xfrm>
                    <a:prstGeom prst="rect">
                      <a:avLst/>
                    </a:prstGeom>
                    <a:noFill/>
                    <a:ln w="9525">
                      <a:noFill/>
                      <a:headEnd/>
                      <a:tailEnd/>
                    </a:ln>
                  </pic:spPr>
                </pic:pic>
              </a:graphicData>
            </a:graphic>
          </wp:inline>
        </w:drawing>
      </w:r>
      <w:r>
        <w:t xml:space="preserve"> </w:t>
      </w:r>
      <w:r>
        <w:t xml:space="preserve">Рисунок 4.5 — Алгоритм синхронизации учётных данных при вводе пользователя (Onboarding)</w:t>
      </w:r>
    </w:p>
    <w:bookmarkEnd w:id="86"/>
    <w:bookmarkStart w:id="90" w:name="X51cd3ae92c20bfdec5bbf297b17c67c79807008"/>
    <w:p>
      <w:pPr>
        <w:pStyle w:val="2"/>
      </w:pPr>
      <w:r>
        <w:t xml:space="preserve">4.4. Автоматизация управления лабораторными работами и изолированными средами</w:t>
      </w:r>
    </w:p>
    <w:p>
      <w:pPr>
        <w:pStyle w:val="FirstParagraph"/>
      </w:pPr>
      <w:r>
        <w:t xml:space="preserve">Со стороны серверной части автоматизация управления лабораторными работами реализована как управление каталогом лабораторных работ, жизненным циклом лабораторных сессий и квотами, тогда как исполнение — создание изолированных окружений в кластере — делегируется инфраструктурному слою согласно контракту (подраздел 3.7).</w:t>
      </w:r>
    </w:p>
    <w:p>
      <w:pPr>
        <w:pStyle w:val="BodyText"/>
      </w:pPr>
      <w:r>
        <w:t xml:space="preserve">Каждая лабораторная работа описывается образом контейнера с предустановленными инструментами, хранящимся в реестре образов (рисунок 4.6). По запросу студента серверная часть создаёт запись лабораторной сессии и управляет её жизненным циклом через последовательность состояний: ожидание — запущена — остановлена (либо ошибка). Переходы инициируются асинхронно: серверная часть публикует в очередь задачи создания и удаления среды, а инфраструктурный слой исполняет их и возвращает статус и адрес подключения. Лабораторные среды эфемерны: по истечении заданного времени работы они автоматически удаляются периодической задачей очистки, что освобождает ресурсы кластера и гарантирует идентичное исходное состояние при каждом новом запуске.</w:t>
      </w:r>
    </w:p>
    <w:p>
      <w:pPr>
        <w:sectPr>
          <w:footerReference r:id="rId8" w:type="default"/>
          <w:pgSz w:h="16838" w:w="11906"/>
          <w:pgMar w:bottom="1134" w:footer="709" w:gutter="0" w:header="709" w:left="1701" w:right="850" w:top="1134"/>
          <w:cols w:space="708"/>
          <w:docGrid w:linePitch="360"/>
        </w:sectPr>
      </w:pPr>
    </w:p>
    <w:p>
      <w:pPr>
        <w:pStyle w:val="BodyText"/>
        <w:keepNext/>
        <w:spacing w:before="120" w:after="60" w:line="240" w:lineRule="auto"/>
        <w:ind w:firstLine="0"/>
        <w:jc w:val="center"/>
      </w:pPr>
      <w:r>
        <w:drawing>
          <wp:inline>
            <wp:extent cx="5930900" cy="2381063"/>
            <wp:effectExtent b="0" l="0" r="0" t="0"/>
            <wp:docPr descr="Реестр контейнерных образов" title="" id="88" name="Picture"/>
            <a:graphic>
              <a:graphicData uri="http://schemas.openxmlformats.org/drawingml/2006/picture">
                <pic:pic>
                  <pic:nvPicPr>
                    <pic:cNvPr descr="./figures/05-gitlab-container-registry-backend.png" id="89" name="Picture"/>
                    <pic:cNvPicPr>
                      <a:picLocks noChangeArrowheads="1" noChangeAspect="1"/>
                    </pic:cNvPicPr>
                  </pic:nvPicPr>
                  <pic:blipFill>
                    <a:blip r:embed="rId87"/>
                    <a:stretch>
                      <a:fillRect/>
                    </a:stretch>
                  </pic:blipFill>
                  <pic:spPr bwMode="auto">
                    <a:xfrm>
                      <a:off x="0" y="0"/>
                      <a:ext cx="5930900" cy="2381063"/>
                    </a:xfrm>
                    <a:prstGeom prst="rect">
                      <a:avLst/>
                    </a:prstGeom>
                    <a:noFill/>
                    <a:ln w="9525">
                      <a:noFill/>
                      <a:headEnd/>
                      <a:tailEnd/>
                    </a:ln>
                  </pic:spPr>
                </pic:pic>
              </a:graphicData>
            </a:graphic>
          </wp:inline>
        </w:drawing>
      </w:r>
    </w:p>
    <w:p>
      <w:pPr>
        <w:pStyle w:val="BodyText"/>
        <w:spacing w:before="60" w:after="240" w:line="240" w:lineRule="auto"/>
        <w:ind w:firstLine="0"/>
        <w:jc w:val="center"/>
        <w:sectPr>
          <w:footerReference r:id="rId8" w:type="default"/>
          <w:pgSz w:w="16838" w:h="11906" w:orient="landscape"/>
          <w:pgMar w:bottom="1134" w:footer="709" w:gutter="0" w:header="709" w:left="1701" w:right="850" w:top="1134"/>
          <w:cols w:space="708"/>
          <w:docGrid w:linePitch="360"/>
        </w:sectPr>
      </w:pPr>
      <w:r>
        <w:rPr>
          <w:sz w:val="24"/>
          <w:szCs w:val="24"/>
        </w:rPr>
        <w:t xml:space="preserve">Рисунок 4.6 — Реестр контейнерных образов платформы (GitLab Container Registry)</w:t>
      </w:r>
    </w:p>
    <w:p>
      <w:pPr>
        <w:pStyle w:val="BodyText"/>
      </w:pPr>
      <w:r>
        <w:t xml:space="preserve">Изоляция учебных сред обеспечивается на нескольких уровнях. Каждая среда выполняется в выделенном пространстве с сетевыми политиками «запрет по умолчанию», исключающими связность между окружениями разных обучающихся, что соответствует требованию изоляции (НФТ-3) и противодействует угрозам несанкционированного доступа к данным другого обучающегося (подраздел 2.5). Ресурсные квоты и лимиты ограничивают потребление процессора и памяти, защищая кластер от исчерпания ресурсов, а контейнеры запускаются без привилегий. На стороне серверной части дополнительно ограничивается число одновременно запущенных сред на одного студента, что предотвращает злоупотребление общими ресурсами. Низкоуровневые механизмы изоляции (пространства имён, сетевые политики, стандарты безопасности подов) реализуются инфраструктурным слоем и проектируются отдельно от серверной части.</w:t>
      </w:r>
    </w:p>
    <w:bookmarkEnd w:id="90"/>
    <w:bookmarkStart w:id="94" w:name="X342248659af575f4766852c200ef4ef7ba03d97"/>
    <w:p>
      <w:pPr>
        <w:pStyle w:val="2"/>
      </w:pPr>
      <w:r>
        <w:t xml:space="preserve">4.5. Сценарий использования: запуск лабораторной среды студентом</w:t>
      </w:r>
    </w:p>
    <w:p>
      <w:pPr>
        <w:pStyle w:val="FirstParagraph"/>
      </w:pPr>
      <w:r>
        <w:t xml:space="preserve">Сквозной сценарий объединяет рассмотренные механизмы. Студент входит через внешнего поставщика аутентификации, получает список доступных ему дисциплин (с учётом ABAC) и инициирует запуск лабораторной среды. Серверная часть выполняет следующую цепочку действий:</w:t>
      </w:r>
    </w:p>
    <w:p>
      <w:pPr>
        <w:pStyle w:val="Compact"/>
        <w:numPr>
          <w:ilvl w:val="0"/>
          <w:numId w:val="1019"/>
        </w:numPr>
      </w:pPr>
      <w:r>
        <w:t xml:space="preserve">проверка полномочия (capability) и доступа к ресурсу (ABAC);</w:t>
      </w:r>
    </w:p>
    <w:p>
      <w:pPr>
        <w:pStyle w:val="Compact"/>
        <w:numPr>
          <w:ilvl w:val="0"/>
          <w:numId w:val="1019"/>
        </w:numPr>
      </w:pPr>
      <w:r>
        <w:t xml:space="preserve">фиксация лабораторной сессии в состоянии ожидания и публикация задачи в очередь с возвратом идентификатора задачи;</w:t>
      </w:r>
    </w:p>
    <w:p>
      <w:pPr>
        <w:pStyle w:val="Compact"/>
        <w:numPr>
          <w:ilvl w:val="0"/>
          <w:numId w:val="1019"/>
        </w:numPr>
      </w:pPr>
      <w:r>
        <w:t xml:space="preserve">опрос статуса задачи клиентом;</w:t>
      </w:r>
    </w:p>
    <w:p>
      <w:pPr>
        <w:pStyle w:val="Compact"/>
        <w:numPr>
          <w:ilvl w:val="0"/>
          <w:numId w:val="1019"/>
        </w:numPr>
      </w:pPr>
      <w:r>
        <w:t xml:space="preserve">выдача адреса подключения (</w:t>
      </w:r>
      <w:r>
        <w:rPr>
          <w:rStyle w:val="VerbatimChar"/>
        </w:rPr>
        <w:t xml:space="preserve">connection_url</w:t>
      </w:r>
      <w:r>
        <w:t xml:space="preserve">) по готовности среды.</w:t>
      </w:r>
    </w:p>
    <w:p>
      <w:pPr>
        <w:pStyle w:val="FirstParagraph"/>
      </w:pPr>
      <w:r>
        <w:t xml:space="preserve">Создание вычислительных ресурсов, изоляция и очистка относятся к инфраструктурному слою и выполняются асинхронно вне серверной части. Журналирование действий в аудит-логе позволяет администратору восстановить последовательность событий при расследовании инцидентов ИБ. Развёртывание самой серверной части автоматизировано средствами непрерывной интеграции: собранные образы публикуются в реестре контейнеров, а конфигурация развёртывания описана пакетом Helm (рисунок 4.7).</w:t>
      </w:r>
    </w:p>
    <w:p>
      <w:pPr>
        <w:sectPr>
          <w:footerReference r:id="rId8" w:type="default"/>
          <w:pgSz w:h="16838" w:w="11906"/>
          <w:pgMar w:bottom="1134" w:footer="709" w:gutter="0" w:header="709" w:left="1701" w:right="850" w:top="1134"/>
          <w:cols w:space="708"/>
          <w:docGrid w:linePitch="360"/>
        </w:sectPr>
      </w:pPr>
    </w:p>
    <w:p>
      <w:pPr>
        <w:pStyle w:val="BodyText"/>
        <w:keepNext/>
        <w:spacing w:before="120" w:after="60" w:line="240" w:lineRule="auto"/>
        <w:ind w:firstLine="0"/>
        <w:jc w:val="center"/>
      </w:pPr>
      <w:r>
        <w:drawing>
          <wp:inline>
            <wp:extent cx="5930900" cy="2416292"/>
            <wp:effectExtent b="0" l="0" r="0" t="0"/>
            <wp:docPr descr="Структура Helm-чарта развёртывания" title="" id="92" name="Picture"/>
            <a:graphic>
              <a:graphicData uri="http://schemas.openxmlformats.org/drawingml/2006/picture">
                <pic:pic>
                  <pic:nvPicPr>
                    <pic:cNvPr descr="./figures/06-gitlab-helm-chart-tree.png" id="93" name="Picture"/>
                    <pic:cNvPicPr>
                      <a:picLocks noChangeArrowheads="1" noChangeAspect="1"/>
                    </pic:cNvPicPr>
                  </pic:nvPicPr>
                  <pic:blipFill>
                    <a:blip r:embed="rId91"/>
                    <a:stretch>
                      <a:fillRect/>
                    </a:stretch>
                  </pic:blipFill>
                  <pic:spPr bwMode="auto">
                    <a:xfrm>
                      <a:off x="0" y="0"/>
                      <a:ext cx="5930900" cy="2416292"/>
                    </a:xfrm>
                    <a:prstGeom prst="rect">
                      <a:avLst/>
                    </a:prstGeom>
                    <a:noFill/>
                    <a:ln w="9525">
                      <a:noFill/>
                      <a:headEnd/>
                      <a:tailEnd/>
                    </a:ln>
                  </pic:spPr>
                </pic:pic>
              </a:graphicData>
            </a:graphic>
          </wp:inline>
        </w:drawing>
      </w:r>
    </w:p>
    <w:p>
      <w:pPr>
        <w:pStyle w:val="BodyText"/>
        <w:spacing w:before="60" w:after="240" w:line="240" w:lineRule="auto"/>
        <w:ind w:firstLine="0"/>
        <w:jc w:val="center"/>
        <w:sectPr>
          <w:footerReference r:id="rId8" w:type="default"/>
          <w:pgSz w:w="16838" w:h="11906" w:orient="landscape"/>
          <w:pgMar w:bottom="1134" w:footer="709" w:gutter="0" w:header="709" w:left="1701" w:right="850" w:top="1134"/>
          <w:cols w:space="708"/>
          <w:docGrid w:linePitch="360"/>
        </w:sectPr>
      </w:pPr>
      <w:r>
        <w:rPr>
          <w:sz w:val="24"/>
          <w:szCs w:val="24"/>
        </w:rPr>
        <w:t xml:space="preserve">Рисунок 4.7 — Структура пакета развёртывания серверной части (Helm-чарт)</w:t>
      </w:r>
    </w:p>
    <w:p>
      <w:pPr>
        <w:pStyle w:val="BodyText"/>
      </w:pPr>
      <w:r>
        <w:t xml:space="preserve">В четвёртой главе спроектированные решения доведены до программной реализации: подсистема разграничения доступа реализована по схеме PDP/PEP с кэшированием решений, интеграция с поставщиком аутентификации построена на протоколе OpenID Connect и серверно-управляемой сессии, а ввод пользователей автоматизирован с безопасной выдачей учётных данных по одноразовой квитанции. Апробация на программном интерфейсе подтвердила соответствие ролевого и атрибутного разграничения системному каталогу возможностей. Управление лабораторными работами и изолированными средами реализовано как асинхронная оркестрация с делегированием исполнения инфраструктурному слою. Таким образом, разработанная серверная часть реализует аутентификацию, гибридное разграничение доступа и автоматизацию управления учебным процессом; архитектура рассчитана на использование в учебных группах численностью до 100 одновременных пользователей на один экземпляр управления.</w:t>
      </w:r>
    </w:p>
    <w:bookmarkEnd w:id="94"/>
    <w:bookmarkEnd w:id="95"/>
    <w:bookmarkStart w:id="96" w:name="заключение"/>
    <w:p>
      <w:pPr>
        <w:pStyle w:val="1"/>
        <w:jc w:val="center"/>
        <w:ind w:firstLine="0"/>
      </w:pPr>
      <w:r>
        <w:t xml:space="preserve">ЗАКЛЮЧЕНИЕ</w:t>
      </w:r>
    </w:p>
    <w:p>
      <w:pPr>
        <w:pStyle w:val="FirstParagraph"/>
      </w:pPr>
      <w:r>
        <w:t xml:space="preserve">В результате выполнения выпускной квалификационной работы разработана серверная часть защищённой микросервисной веб-платформы для управления лабораторным комплексом обучения информационной безопасности. Все поставленные задачи выполнены, цель работы достигнута.</w:t>
      </w:r>
    </w:p>
    <w:p>
      <w:pPr>
        <w:pStyle w:val="BodyText"/>
      </w:pPr>
      <w:r>
        <w:t xml:space="preserve">В ходе работы получены следующие результаты:</w:t>
      </w:r>
    </w:p>
    <w:p>
      <w:pPr>
        <w:pStyle w:val="Compact"/>
        <w:numPr>
          <w:ilvl w:val="0"/>
          <w:numId w:val="1020"/>
        </w:numPr>
      </w:pPr>
      <w:r>
        <w:t xml:space="preserve">Проанализированы особенности организации практического обучения информационной безопасности и ограничения традиционных подходов к проведению лабораторных работ (физические стенды, локальная виртуализация, ручное развёртывание).</w:t>
      </w:r>
    </w:p>
    <w:p>
      <w:pPr>
        <w:pStyle w:val="Compact"/>
        <w:numPr>
          <w:ilvl w:val="0"/>
          <w:numId w:val="1020"/>
        </w:numPr>
      </w:pPr>
      <w:r>
        <w:t xml:space="preserve">Исследованы архитектурные и защитные подходы к построению серверной части и теоретические модели разграничения доступа: рассмотрены кибериммунный подход, ролевая (RBAC) и атрибутная (ABAC) модели и схема разделения логики контроля доступа на точки принятия и исполнения решений (PDP/PEP).</w:t>
      </w:r>
    </w:p>
    <w:p>
      <w:pPr>
        <w:pStyle w:val="Compact"/>
        <w:numPr>
          <w:ilvl w:val="0"/>
          <w:numId w:val="1020"/>
        </w:numPr>
      </w:pPr>
      <w:r>
        <w:t xml:space="preserve">Сформулированы функциональные и нефункциональные требования к серверной части на основе нормативной базы (Федеральный закон № 149-ФЗ, требования ФСТЭК России, государственные стандарты) и модели угроз, построенной по Методике оценки угроз безопасности информации ФСТЭК России.</w:t>
      </w:r>
    </w:p>
    <w:p>
      <w:pPr>
        <w:pStyle w:val="Compact"/>
        <w:numPr>
          <w:ilvl w:val="0"/>
          <w:numId w:val="1020"/>
        </w:numPr>
      </w:pPr>
      <w:r>
        <w:t xml:space="preserve">Спроектирована архитектура серверной части и программный интерфейс взаимодействия с клиентской частью и инфраструктурным контуром: обоснован выбор микросервисной архитектуры, разработаны компонентная структура, логическая модель данных и гибридная модель доступа.</w:t>
      </w:r>
    </w:p>
    <w:p>
      <w:pPr>
        <w:pStyle w:val="Compact"/>
        <w:numPr>
          <w:ilvl w:val="0"/>
          <w:numId w:val="1020"/>
        </w:numPr>
      </w:pPr>
      <w:r>
        <w:t xml:space="preserve">Разработаны механизмы разграничения доступа, сочетающие ролевую и атрибутную модели (RBAC и ABAC) на основе схемы PDP/PEP с единым реестром возможностей.</w:t>
      </w:r>
    </w:p>
    <w:p>
      <w:pPr>
        <w:pStyle w:val="Compact"/>
        <w:numPr>
          <w:ilvl w:val="0"/>
          <w:numId w:val="1020"/>
        </w:numPr>
      </w:pPr>
      <w:r>
        <w:t xml:space="preserve">Автоматизированы управление учебными материалами и ввод пользователей, а управление лабораторными работами и изолированными средами реализовано как асинхронная оркестрация с делегированием исполнения инфраструктурному слою.</w:t>
      </w:r>
    </w:p>
    <w:p>
      <w:pPr>
        <w:pStyle w:val="FirstParagraph"/>
      </w:pPr>
      <w:r>
        <w:t xml:space="preserve">Разработанное решение реализует аутентификацию, гибридное разграничение доступа и автоматизацию управления учебным процессом и пригодно для применения в образовательной организации; архитектура рассчитана на работу до 100 одновременных пользователей на один экземпляр управления. Направлениями дальнейшего развития являются расширение поддерживаемых типов лабораторных сред, развитие средств наблюдаемости и обнаружения аномалий, а также интеграция с инфраструктурным контуром в части исполнения лабораторных работ.</w:t>
      </w:r>
    </w:p>
    <w:bookmarkEnd w:id="96"/>
    <w:bookmarkStart w:id="97" w:name="список-использованных-источников"/>
    <w:p>
      <w:pPr>
        <w:pStyle w:val="1"/>
        <w:jc w:val="center"/>
        <w:ind w:firstLine="0"/>
      </w:pPr>
      <w:r>
        <w:t xml:space="preserve">СПИСОК ИСПОЛЬЗОВАННЫХ ИСТОЧНИКОВ</w:t>
      </w:r>
    </w:p>
    <w:p>
      <w:pPr>
        <w:pStyle w:val="Compact"/>
        <w:numPr>
          <w:ilvl w:val="0"/>
          <w:numId w:val="1021"/>
        </w:numPr>
      </w:pPr>
      <w:r>
        <w:t xml:space="preserve">Федеральный закон от 27.07.2006 № 149-ФЗ «Об информации, информационных технологиях и о защите информации». – URL: https://www.consultant.ru/document/cons_doc_LAW_61798/ (дата обращения: 04.05.2026);</w:t>
      </w:r>
    </w:p>
    <w:p>
      <w:pPr>
        <w:pStyle w:val="Compact"/>
        <w:numPr>
          <w:ilvl w:val="0"/>
          <w:numId w:val="1021"/>
        </w:numPr>
      </w:pPr>
      <w:r>
        <w:t xml:space="preserve">ГОСТ 7.32-2017. Система стандартов по информации, библиотечному и издательскому делу. Отчёт о научно-исследовательской работе. Структура и правила оформления. – Москва: Стандартинформ. 2017. – URL: https://docs.cntd.ru/document/1200157208 (дата обращения: 04.05.2026);</w:t>
      </w:r>
    </w:p>
    <w:p>
      <w:pPr>
        <w:pStyle w:val="Compact"/>
        <w:numPr>
          <w:ilvl w:val="0"/>
          <w:numId w:val="1021"/>
        </w:numPr>
      </w:pPr>
      <w:r>
        <w:t xml:space="preserve">ГОСТ Р 51583-2014. Защита информации. Порядок создания автоматизированных систем в защищённом исполнении. Общие положения. – URL: https://docs.cntd.ru/document/1200108858 (дата обращения: 04.05.2026);</w:t>
      </w:r>
    </w:p>
    <w:p>
      <w:pPr>
        <w:pStyle w:val="Compact"/>
        <w:numPr>
          <w:ilvl w:val="0"/>
          <w:numId w:val="1021"/>
        </w:numPr>
      </w:pPr>
      <w:r>
        <w:t xml:space="preserve">ГОСТ Р ИСО/МЭК 27001-2021. Информационная безопасность, кибербезопасность и защита конфиденциальности. Системы управления информационной безопасностью. Требования. – URL: https://docs.cntd.ru/document/1200180681 (дата обращения: 04.05.2026);</w:t>
      </w:r>
    </w:p>
    <w:p>
      <w:pPr>
        <w:pStyle w:val="Compact"/>
        <w:numPr>
          <w:ilvl w:val="0"/>
          <w:numId w:val="1021"/>
        </w:numPr>
      </w:pPr>
      <w:r>
        <w:t xml:space="preserve">ГОСТ Р 58412-2019. Защита информации. Разработка безопасного программного обеспечения. Угрозы безопасности информации при разработке программного обеспечения. – URL: https://docs.cntd.ru/document/1200170827 (дата обращения: 04.05.2026);</w:t>
      </w:r>
    </w:p>
    <w:p>
      <w:pPr>
        <w:pStyle w:val="Compact"/>
        <w:numPr>
          <w:ilvl w:val="0"/>
          <w:numId w:val="1021"/>
        </w:numPr>
      </w:pPr>
      <w:r>
        <w:t xml:space="preserve">Приказ ФСТЭК России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 – URL: https://fstec.ru/normotvorcheskaya/akty/53-prikazy/702 (дата обращения: 04.05.2026);</w:t>
      </w:r>
    </w:p>
    <w:p>
      <w:pPr>
        <w:pStyle w:val="Compact"/>
        <w:numPr>
          <w:ilvl w:val="0"/>
          <w:numId w:val="1021"/>
        </w:numPr>
      </w:pPr>
      <w:r>
        <w:t xml:space="preserve">Методика оценки угроз безопасности информации (утв. ФСТЭК России 5 февраля 2021 г.). – Москва: ФСТЭК России. 2021. – URL: https://fstec.ru/dokumenty/vse-dokumenty/spetsialnye-normativnye-dokumenty/metodicheskij-dokument-ot-5-fevralya-2021-g (дата обращения: 04.05.2026);</w:t>
      </w:r>
    </w:p>
    <w:p>
      <w:pPr>
        <w:pStyle w:val="Compact"/>
        <w:numPr>
          <w:ilvl w:val="0"/>
          <w:numId w:val="1021"/>
        </w:numPr>
      </w:pPr>
      <w:r>
        <w:t xml:space="preserve">Банк данных угроз безопасности информации: сайт – URL: https://bdu.fstec.ru/ (дата обращения: 04.05.2026);</w:t>
      </w:r>
    </w:p>
    <w:p>
      <w:pPr>
        <w:pStyle w:val="Compact"/>
        <w:numPr>
          <w:ilvl w:val="0"/>
          <w:numId w:val="1021"/>
        </w:numPr>
      </w:pPr>
      <w:r>
        <w:t xml:space="preserve">Sandhu R., Ferraiolo D.F., Kuhn D.R. The NIST Model for Role-Based Access Control: Towards a Unified Standard – NIST. 2000. – URL: https://www.nist.gov/publications/nist-model-role-based-access-control-towards-unified-standard (дата обращения: 04.05.2026);</w:t>
      </w:r>
    </w:p>
    <w:p>
      <w:pPr>
        <w:pStyle w:val="Compact"/>
        <w:numPr>
          <w:ilvl w:val="0"/>
          <w:numId w:val="1021"/>
        </w:numPr>
      </w:pPr>
      <w:r>
        <w:t xml:space="preserve">Hu V.C. et al. Guide to Attribute Based Access Control (ABAC) Definition and Considerations: NIST SP 800-162 – 2019. – URL: https://csrc.nist.gov/pubs/sp/800/162/upd2/final (дата обращения: 04.05.2026);</w:t>
      </w:r>
    </w:p>
    <w:p>
      <w:pPr>
        <w:pStyle w:val="Compact"/>
        <w:numPr>
          <w:ilvl w:val="0"/>
          <w:numId w:val="1021"/>
        </w:numPr>
      </w:pPr>
      <w:r>
        <w:t xml:space="preserve">Lewis J., Fowler M. Microservices: a definition of this new architectural term: сайт – URL: https://martinfowler.com/articles/microservices.html (дата обращения: 04.05.2026);</w:t>
      </w:r>
    </w:p>
    <w:p>
      <w:pPr>
        <w:pStyle w:val="Compact"/>
        <w:numPr>
          <w:ilvl w:val="0"/>
          <w:numId w:val="1021"/>
        </w:numPr>
      </w:pPr>
      <w:r>
        <w:t xml:space="preserve">Vykopal J. et al. KYPO Cyber Range: Design and Use Cases // Proceedings of the 12th International Conference on Software Technologies (ICSOFT). – 2017. – P. 310 – 321;</w:t>
      </w:r>
    </w:p>
    <w:p>
      <w:pPr>
        <w:pStyle w:val="Compact"/>
        <w:numPr>
          <w:ilvl w:val="0"/>
          <w:numId w:val="1021"/>
        </w:numPr>
      </w:pPr>
      <w:r>
        <w:t xml:space="preserve">Gustavo G., Hahn A. CyRIS: A Cyber Range Instantiation System for Facilitating Security Training // Proceedings of the 7th Symposium on Information and Communication Technology. – ACM, 2016. – P. 251 – 258;</w:t>
      </w:r>
    </w:p>
    <w:p>
      <w:pPr>
        <w:pStyle w:val="Compact"/>
        <w:numPr>
          <w:ilvl w:val="0"/>
          <w:numId w:val="1021"/>
        </w:numPr>
      </w:pPr>
      <w:r>
        <w:t xml:space="preserve">Švabenský V. et al. Cybersecurity Knowledge and Skills Taught in Capture the Flag Challenges // Computers &amp; Security. – 2021. – Vol. 102. – 102154;</w:t>
      </w:r>
    </w:p>
    <w:p>
      <w:pPr>
        <w:pStyle w:val="Compact"/>
        <w:numPr>
          <w:ilvl w:val="0"/>
          <w:numId w:val="1021"/>
        </w:numPr>
      </w:pPr>
      <w:r>
        <w:t xml:space="preserve">Souppaya M., Morello J., Scarfone K. Application Container Security Guide: NIST Special Publication 800-190 – Gaithersburg: NIST. 2017. – 59 p. – URL: https://doi.org/10.6028/NIST.SP.800-190 (дата обращения: 04.05.2026);</w:t>
      </w:r>
    </w:p>
    <w:p>
      <w:pPr>
        <w:pStyle w:val="Compact"/>
        <w:numPr>
          <w:ilvl w:val="0"/>
          <w:numId w:val="1021"/>
        </w:numPr>
      </w:pPr>
      <w:r>
        <w:t xml:space="preserve">Chandramouli R. Security Strategies for Microservices-based Application Systems: NIST Special Publication 800-204 – Gaithersburg: NIST. 2019. – 43 p. – URL: https://doi.org/10.6028/NIST.SP.800-204 (дата обращения: 04.05.2026);</w:t>
      </w:r>
    </w:p>
    <w:p>
      <w:pPr>
        <w:pStyle w:val="Compact"/>
        <w:numPr>
          <w:ilvl w:val="0"/>
          <w:numId w:val="1021"/>
        </w:numPr>
      </w:pPr>
      <w:r>
        <w:t xml:space="preserve">Keycloak Documentation. Server Administration Guide: сайт – URL: https://www.keycloak.org/docs/latest/server_admin/ (дата обращения: 04.05.2026);</w:t>
      </w:r>
    </w:p>
    <w:p>
      <w:pPr>
        <w:pStyle w:val="Compact"/>
        <w:numPr>
          <w:ilvl w:val="0"/>
          <w:numId w:val="1021"/>
        </w:numPr>
      </w:pPr>
      <w:r>
        <w:t xml:space="preserve">OWASP Cheat Sheet Series. Authorization Cheat Sheet: сайт – URL: https://cheatsheetseries.owasp.org/cheatsheets/Authorization_Cheat_Sheet.html (дата обращения: 04.05.2026);</w:t>
      </w:r>
    </w:p>
    <w:p>
      <w:pPr>
        <w:pStyle w:val="Compact"/>
        <w:numPr>
          <w:ilvl w:val="0"/>
          <w:numId w:val="1021"/>
        </w:numPr>
      </w:pPr>
      <w:r>
        <w:t xml:space="preserve">Kubernetes Documentation. Network Policies: сайт – URL: https://kubernetes.io/docs/concepts/services-networking/network-policies/ (дата обращения: 04.05.2026);</w:t>
      </w:r>
    </w:p>
    <w:p>
      <w:pPr>
        <w:pStyle w:val="Compact"/>
        <w:numPr>
          <w:ilvl w:val="0"/>
          <w:numId w:val="1021"/>
        </w:numPr>
      </w:pPr>
      <w:r>
        <w:t xml:space="preserve">Kubernetes Documentation. Role Based Access Control Good Practices: сайт – URL: https://kubernetes.io/docs/concepts/security/rbac-good-practices/ (дата обращения: 04.05.2026);</w:t>
      </w:r>
    </w:p>
    <w:p>
      <w:pPr>
        <w:pStyle w:val="Compact"/>
        <w:numPr>
          <w:ilvl w:val="0"/>
          <w:numId w:val="1021"/>
        </w:numPr>
      </w:pPr>
      <w:r>
        <w:t xml:space="preserve">Kubernetes Documentation. Namespaces: сайт – URL: https://kubernetes.io/docs/concepts/overview/working-with-objects/namespaces/ (дата обращения: 04.05.2026);</w:t>
      </w:r>
    </w:p>
    <w:p>
      <w:pPr>
        <w:pStyle w:val="Compact"/>
        <w:numPr>
          <w:ilvl w:val="0"/>
          <w:numId w:val="1021"/>
        </w:numPr>
      </w:pPr>
      <w:r>
        <w:t xml:space="preserve">Kubernetes Documentation. Pod Security Standards: сайт – URL: https://kubernetes.io/docs/concepts/security/pod-security-standards/ (дата обращения: 04.05.2026);</w:t>
      </w:r>
    </w:p>
    <w:p>
      <w:pPr>
        <w:pStyle w:val="Compact"/>
        <w:numPr>
          <w:ilvl w:val="0"/>
          <w:numId w:val="1021"/>
        </w:numPr>
      </w:pPr>
      <w:r>
        <w:t xml:space="preserve">OpenID Connect Core 1.0 incorporating errata set 2: сайт – OpenID Foundation, 2014. – URL: https://openid.net/specs/openid-connect-core-1_0.html (дата обращения: 04.05.2026);</w:t>
      </w:r>
    </w:p>
    <w:p>
      <w:pPr>
        <w:pStyle w:val="Compact"/>
        <w:numPr>
          <w:ilvl w:val="0"/>
          <w:numId w:val="1021"/>
        </w:numPr>
      </w:pPr>
      <w:r>
        <w:t xml:space="preserve">FastAPI Documentation: сайт – URL: https://fastapi.tiangolo.com/ (дата обращения: 04.05.2026);</w:t>
      </w:r>
    </w:p>
    <w:p>
      <w:pPr>
        <w:pStyle w:val="Compact"/>
        <w:numPr>
          <w:ilvl w:val="0"/>
          <w:numId w:val="1021"/>
        </w:numPr>
      </w:pPr>
      <w:r>
        <w:t xml:space="preserve">Celery Documentation: сайт – URL: https://docs.celeryq.dev/ (дата обращения: 04.05.2026);</w:t>
      </w:r>
    </w:p>
    <w:p>
      <w:pPr>
        <w:pStyle w:val="Compact"/>
        <w:numPr>
          <w:ilvl w:val="0"/>
          <w:numId w:val="1021"/>
        </w:numPr>
      </w:pPr>
      <w:r>
        <w:t xml:space="preserve">RabbitMQ Documentation: сайт – URL: https://www.rabbitmq.com/docs (дата обращения: 04.05.2026)</w:t>
      </w:r>
    </w:p>
    <w:bookmarkEnd w:id="97"/>
    <w:bookmarkStart w:id="98" w:name="приложение-а"/>
    <w:p>
      <w:pPr>
        <w:pStyle w:val="1"/>
        <w:jc w:val="center"/>
        <w:ind w:firstLine="0"/>
      </w:pPr>
      <w:r>
        <w:t xml:space="preserve">ПРИЛОЖЕНИЕ А</w:t>
      </w:r>
    </w:p>
    <w:p>
      <w:pPr>
        <w:pStyle w:val="FirstParagraph"/>
        <w:jc w:val="center"/>
        <w:ind w:firstLine="0"/>
        <w:keepNext/>
      </w:pPr>
      <w:r>
        <w:t xml:space="preserve">Системный реестр возможностей платформы</w:t>
      </w:r>
    </w:p>
    <w:p>
      <w:pPr>
        <w:pStyle w:val="BodyText"/>
      </w:pPr>
      <w:r>
        <w:t xml:space="preserve">В таблице А.1 приведён полный перечень возможностей (capabilities), используемый в текущей реализации серверной части платформы. Для каждой возможности указаны её ключ, назначение, область действия и роли, которым она доступна. В основном тексте работы (подраздел 3.6) приводятся только характерные примеры из этого реестра.</w:t>
      </w:r>
    </w:p>
    <w:p>
      <w:pPr>
        <w:pStyle w:val="BodyText"/>
        <w:keepNext/>
        <w:spacing w:before="240" w:after="60" w:line="240" w:lineRule="auto"/>
        <w:ind w:firstLine="0"/>
        <w:jc w:val="start"/>
      </w:pPr>
      <w:r>
        <w:rPr>
          <w:sz w:val="24"/>
          <w:szCs w:val="24"/>
        </w:rPr>
        <w:t xml:space="preserve">Таблица А.1 — Системный реестр возможностей платформы</w:t>
      </w:r>
    </w:p>
    <w:tbl>
      <w:tblPr>
        <w:tblStyle w:val="af0"/>
        <w:tblW w:type="pct" w:w="5000"/>
        <w:tblLayout w:type="fixed"/>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firstRow="1" w:lastRow="0" w:firstColumn="0" w:lastColumn="0" w:noHBand="0" w:noVBand="0" w:val="0020"/>
      </w:tblPr>
      <w:tblGrid>
        <w:gridCol w:w="1584"/>
        <w:gridCol w:w="1584"/>
        <w:gridCol w:w="1584"/>
        <w:gridCol w:w="1584"/>
        <w:gridCol w:w="1584"/>
      </w:tblGrid>
      <w:tr>
        <w:trPr>
          <w:cantSplit/>
          <w:tblHeader w:val="on"/>
        </w:trPr>
        <w:tc>
          <w:tcPr/>
          <w:p>
            <w:pPr>
              <w:pStyle w:val="Compact"/>
              <w:spacing w:before="0" w:after="0" w:line="240" w:lineRule="auto"/>
              <w:jc w:val="left"/>
              <w:ind w:firstLine="0"/>
            </w:pPr>
            <w:r>
              <w:rPr>
                <w:sz w:val="24"/>
                <w:szCs w:val="24"/>
              </w:rPr>
              <w:t xml:space="preserve">Группа</w:t>
            </w:r>
          </w:p>
        </w:tc>
        <w:tc>
          <w:tcPr/>
          <w:p>
            <w:pPr>
              <w:pStyle w:val="Compact"/>
              <w:spacing w:before="0" w:after="0" w:line="240" w:lineRule="auto"/>
              <w:jc w:val="left"/>
              <w:ind w:firstLine="0"/>
            </w:pPr>
            <w:r>
              <w:rPr>
                <w:sz w:val="24"/>
                <w:szCs w:val="24"/>
              </w:rPr>
              <w:t xml:space="preserve">Возможность (ключ)</w:t>
            </w:r>
          </w:p>
        </w:tc>
        <w:tc>
          <w:tcPr/>
          <w:p>
            <w:pPr>
              <w:pStyle w:val="Compact"/>
              <w:spacing w:before="0" w:after="0" w:line="240" w:lineRule="auto"/>
              <w:jc w:val="left"/>
              <w:ind w:firstLine="0"/>
            </w:pPr>
            <w:r>
              <w:rPr>
                <w:sz w:val="24"/>
                <w:szCs w:val="24"/>
              </w:rPr>
              <w:t xml:space="preserve">Назначение</w:t>
            </w:r>
          </w:p>
        </w:tc>
        <w:tc>
          <w:tcPr/>
          <w:p>
            <w:pPr>
              <w:pStyle w:val="Compact"/>
              <w:spacing w:before="0" w:after="0" w:line="240" w:lineRule="auto"/>
              <w:jc w:val="left"/>
              <w:ind w:firstLine="0"/>
            </w:pPr>
            <w:r>
              <w:rPr>
                <w:sz w:val="24"/>
                <w:szCs w:val="24"/>
              </w:rPr>
              <w:t xml:space="preserve">Область действия</w:t>
            </w:r>
          </w:p>
        </w:tc>
        <w:tc>
          <w:tcPr/>
          <w:p>
            <w:pPr>
              <w:pStyle w:val="Compact"/>
              <w:spacing w:before="0" w:after="0" w:line="240" w:lineRule="auto"/>
              <w:jc w:val="left"/>
              <w:ind w:firstLine="0"/>
            </w:pPr>
            <w:r>
              <w:rPr>
                <w:sz w:val="24"/>
                <w:szCs w:val="24"/>
              </w:rPr>
              <w:t xml:space="preserve">Роли</w:t>
            </w:r>
          </w:p>
        </w:tc>
      </w:tr>
      <w:tr>
        <w:trPr>
          <w:cantSplit/>
        </w:trPr>
        <w:tc>
          <w:tcPr/>
          <w:p>
            <w:pPr>
              <w:pStyle w:val="Compact"/>
              <w:spacing w:before="0" w:after="0" w:line="240" w:lineRule="auto"/>
              <w:jc w:val="left"/>
              <w:ind w:firstLine="0"/>
            </w:pPr>
            <w:r>
              <w:rPr>
                <w:sz w:val="24"/>
                <w:szCs w:val="24"/>
              </w:rPr>
              <w:t xml:space="preserve">Базовые</w:t>
            </w:r>
          </w:p>
        </w:tc>
        <w:tc>
          <w:tcPr/>
          <w:p>
            <w:pPr>
              <w:pStyle w:val="Compact"/>
              <w:spacing w:before="0" w:after="0" w:line="240" w:lineRule="auto"/>
              <w:jc w:val="left"/>
              <w:ind w:firstLine="0"/>
            </w:pPr>
            <w:r>
              <w:rPr>
                <w:rStyle w:val="VerbatimChar"/>
                <w:sz w:val="24"/>
                <w:szCs w:val="24"/>
              </w:rPr>
              <w:t xml:space="preserve">home.read</w:t>
            </w:r>
          </w:p>
        </w:tc>
        <w:tc>
          <w:tcPr/>
          <w:p>
            <w:pPr>
              <w:pStyle w:val="Compact"/>
              <w:spacing w:before="0" w:after="0" w:line="240" w:lineRule="auto"/>
              <w:jc w:val="left"/>
              <w:ind w:firstLine="0"/>
            </w:pPr>
            <w:r>
              <w:rPr>
                <w:sz w:val="24"/>
                <w:szCs w:val="24"/>
              </w:rPr>
              <w:t xml:space="preserve">Доступ к главной странице и сводной панели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Базовые</w:t>
            </w:r>
          </w:p>
        </w:tc>
        <w:tc>
          <w:tcPr/>
          <w:p>
            <w:pPr>
              <w:pStyle w:val="Compact"/>
              <w:spacing w:before="0" w:after="0" w:line="240" w:lineRule="auto"/>
              <w:jc w:val="left"/>
              <w:ind w:firstLine="0"/>
            </w:pPr>
            <w:r>
              <w:rPr>
                <w:rStyle w:val="VerbatimChar"/>
                <w:sz w:val="24"/>
                <w:szCs w:val="24"/>
              </w:rPr>
              <w:t xml:space="preserve">inbox.read</w:t>
            </w:r>
          </w:p>
        </w:tc>
        <w:tc>
          <w:tcPr/>
          <w:p>
            <w:pPr>
              <w:pStyle w:val="Compact"/>
              <w:spacing w:before="0" w:after="0" w:line="240" w:lineRule="auto"/>
              <w:jc w:val="left"/>
              <w:ind w:firstLine="0"/>
            </w:pPr>
            <w:r>
              <w:rPr>
                <w:sz w:val="24"/>
                <w:szCs w:val="24"/>
              </w:rPr>
              <w:t xml:space="preserve">Доступ к входящим уведомлениям</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Базовые</w:t>
            </w:r>
          </w:p>
        </w:tc>
        <w:tc>
          <w:tcPr/>
          <w:p>
            <w:pPr>
              <w:pStyle w:val="Compact"/>
              <w:spacing w:before="0" w:after="0" w:line="240" w:lineRule="auto"/>
              <w:jc w:val="left"/>
              <w:ind w:firstLine="0"/>
            </w:pPr>
            <w:r>
              <w:rPr>
                <w:rStyle w:val="VerbatimChar"/>
                <w:sz w:val="24"/>
                <w:szCs w:val="24"/>
              </w:rPr>
              <w:t xml:space="preserve">profile.read</w:t>
            </w:r>
          </w:p>
        </w:tc>
        <w:tc>
          <w:tcPr/>
          <w:p>
            <w:pPr>
              <w:pStyle w:val="Compact"/>
              <w:spacing w:before="0" w:after="0" w:line="240" w:lineRule="auto"/>
              <w:jc w:val="left"/>
              <w:ind w:firstLine="0"/>
            </w:pPr>
            <w:r>
              <w:rPr>
                <w:sz w:val="24"/>
                <w:szCs w:val="24"/>
              </w:rPr>
              <w:t xml:space="preserve">Просмотр собственного профиля</w:t>
            </w:r>
          </w:p>
        </w:tc>
        <w:tc>
          <w:tcPr/>
          <w:p>
            <w:pPr>
              <w:pStyle w:val="Compact"/>
              <w:spacing w:before="0" w:after="0" w:line="240" w:lineRule="auto"/>
              <w:jc w:val="left"/>
              <w:ind w:firstLine="0"/>
            </w:pPr>
            <w:r>
              <w:rPr>
                <w:sz w:val="24"/>
                <w:szCs w:val="24"/>
              </w:rPr>
              <w:t xml:space="preserve">Глобальная и 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Настройки</w:t>
            </w:r>
          </w:p>
        </w:tc>
        <w:tc>
          <w:tcPr/>
          <w:p>
            <w:pPr>
              <w:pStyle w:val="Compact"/>
              <w:spacing w:before="0" w:after="0" w:line="240" w:lineRule="auto"/>
              <w:jc w:val="left"/>
              <w:ind w:firstLine="0"/>
            </w:pPr>
            <w:r>
              <w:rPr>
                <w:rStyle w:val="VerbatimChar"/>
                <w:sz w:val="24"/>
                <w:szCs w:val="24"/>
              </w:rPr>
              <w:t xml:space="preserve">settings.read</w:t>
            </w:r>
          </w:p>
        </w:tc>
        <w:tc>
          <w:tcPr/>
          <w:p>
            <w:pPr>
              <w:pStyle w:val="Compact"/>
              <w:spacing w:before="0" w:after="0" w:line="240" w:lineRule="auto"/>
              <w:jc w:val="left"/>
              <w:ind w:firstLine="0"/>
            </w:pPr>
            <w:r>
              <w:rPr>
                <w:sz w:val="24"/>
                <w:szCs w:val="24"/>
              </w:rPr>
              <w:t xml:space="preserve">Доступ к общим настройкам профиля</w:t>
            </w:r>
          </w:p>
        </w:tc>
        <w:tc>
          <w:tcPr/>
          <w:p>
            <w:pPr>
              <w:pStyle w:val="Compact"/>
              <w:spacing w:before="0" w:after="0" w:line="240" w:lineRule="auto"/>
              <w:jc w:val="left"/>
              <w:ind w:firstLine="0"/>
            </w:pPr>
            <w:r>
              <w:rPr>
                <w:sz w:val="24"/>
                <w:szCs w:val="24"/>
              </w:rPr>
              <w:t xml:space="preserve">Глобальная и 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Настройки</w:t>
            </w:r>
          </w:p>
        </w:tc>
        <w:tc>
          <w:tcPr/>
          <w:p>
            <w:pPr>
              <w:pStyle w:val="Compact"/>
              <w:spacing w:before="0" w:after="0" w:line="240" w:lineRule="auto"/>
              <w:jc w:val="left"/>
              <w:ind w:firstLine="0"/>
            </w:pPr>
            <w:r>
              <w:rPr>
                <w:rStyle w:val="VerbatimChar"/>
                <w:sz w:val="24"/>
                <w:szCs w:val="24"/>
              </w:rPr>
              <w:t xml:space="preserve">settings.security.read</w:t>
            </w:r>
          </w:p>
        </w:tc>
        <w:tc>
          <w:tcPr/>
          <w:p>
            <w:pPr>
              <w:pStyle w:val="Compact"/>
              <w:spacing w:before="0" w:after="0" w:line="240" w:lineRule="auto"/>
              <w:jc w:val="left"/>
              <w:ind w:firstLine="0"/>
            </w:pPr>
            <w:r>
              <w:rPr>
                <w:sz w:val="24"/>
                <w:szCs w:val="24"/>
              </w:rPr>
              <w:t xml:space="preserve">Просмотр раздела безопасности</w:t>
            </w:r>
          </w:p>
        </w:tc>
        <w:tc>
          <w:tcPr/>
          <w:p>
            <w:pPr>
              <w:pStyle w:val="Compact"/>
              <w:spacing w:before="0" w:after="0" w:line="240" w:lineRule="auto"/>
              <w:jc w:val="left"/>
              <w:ind w:firstLine="0"/>
            </w:pPr>
            <w:r>
              <w:rPr>
                <w:sz w:val="24"/>
                <w:szCs w:val="24"/>
              </w:rPr>
              <w:t xml:space="preserve">Глобальная и 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Настройки</w:t>
            </w:r>
          </w:p>
        </w:tc>
        <w:tc>
          <w:tcPr/>
          <w:p>
            <w:pPr>
              <w:pStyle w:val="Compact"/>
              <w:spacing w:before="0" w:after="0" w:line="240" w:lineRule="auto"/>
              <w:jc w:val="left"/>
              <w:ind w:firstLine="0"/>
            </w:pPr>
            <w:r>
              <w:rPr>
                <w:rStyle w:val="VerbatimChar"/>
                <w:sz w:val="24"/>
                <w:szCs w:val="24"/>
              </w:rPr>
              <w:t xml:space="preserve">settings.security.manage</w:t>
            </w:r>
          </w:p>
        </w:tc>
        <w:tc>
          <w:tcPr/>
          <w:p>
            <w:pPr>
              <w:pStyle w:val="Compact"/>
              <w:spacing w:before="0" w:after="0" w:line="240" w:lineRule="auto"/>
              <w:jc w:val="left"/>
              <w:ind w:firstLine="0"/>
            </w:pPr>
            <w:r>
              <w:rPr>
                <w:sz w:val="24"/>
                <w:szCs w:val="24"/>
              </w:rPr>
              <w:t xml:space="preserve">Изменение настроек безопасности</w:t>
            </w:r>
          </w:p>
        </w:tc>
        <w:tc>
          <w:tcPr/>
          <w:p>
            <w:pPr>
              <w:pStyle w:val="Compact"/>
              <w:spacing w:before="0" w:after="0" w:line="240" w:lineRule="auto"/>
              <w:jc w:val="left"/>
              <w:ind w:firstLine="0"/>
            </w:pPr>
            <w:r>
              <w:rPr>
                <w:sz w:val="24"/>
                <w:szCs w:val="24"/>
              </w:rPr>
              <w:t xml:space="preserve">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Настройки</w:t>
            </w:r>
          </w:p>
        </w:tc>
        <w:tc>
          <w:tcPr/>
          <w:p>
            <w:pPr>
              <w:pStyle w:val="Compact"/>
              <w:spacing w:before="0" w:after="0" w:line="240" w:lineRule="auto"/>
              <w:jc w:val="left"/>
              <w:ind w:firstLine="0"/>
            </w:pPr>
            <w:r>
              <w:rPr>
                <w:rStyle w:val="VerbatimChar"/>
                <w:sz w:val="24"/>
                <w:szCs w:val="24"/>
              </w:rPr>
              <w:t xml:space="preserve">settings.notifications.read</w:t>
            </w:r>
          </w:p>
        </w:tc>
        <w:tc>
          <w:tcPr/>
          <w:p>
            <w:pPr>
              <w:pStyle w:val="Compact"/>
              <w:spacing w:before="0" w:after="0" w:line="240" w:lineRule="auto"/>
              <w:jc w:val="left"/>
              <w:ind w:firstLine="0"/>
            </w:pPr>
            <w:r>
              <w:rPr>
                <w:sz w:val="24"/>
                <w:szCs w:val="24"/>
              </w:rPr>
              <w:t xml:space="preserve">Просмотр настроек уведомлений</w:t>
            </w:r>
          </w:p>
        </w:tc>
        <w:tc>
          <w:tcPr/>
          <w:p>
            <w:pPr>
              <w:pStyle w:val="Compact"/>
              <w:spacing w:before="0" w:after="0" w:line="240" w:lineRule="auto"/>
              <w:jc w:val="left"/>
              <w:ind w:firstLine="0"/>
            </w:pPr>
            <w:r>
              <w:rPr>
                <w:sz w:val="24"/>
                <w:szCs w:val="24"/>
              </w:rPr>
              <w:t xml:space="preserve">Глобальная и 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Настройки</w:t>
            </w:r>
          </w:p>
        </w:tc>
        <w:tc>
          <w:tcPr/>
          <w:p>
            <w:pPr>
              <w:pStyle w:val="Compact"/>
              <w:spacing w:before="0" w:after="0" w:line="240" w:lineRule="auto"/>
              <w:jc w:val="left"/>
              <w:ind w:firstLine="0"/>
            </w:pPr>
            <w:r>
              <w:rPr>
                <w:rStyle w:val="VerbatimChar"/>
                <w:sz w:val="24"/>
                <w:szCs w:val="24"/>
              </w:rPr>
              <w:t xml:space="preserve">settings.notifications.manage</w:t>
            </w:r>
          </w:p>
        </w:tc>
        <w:tc>
          <w:tcPr/>
          <w:p>
            <w:pPr>
              <w:pStyle w:val="Compact"/>
              <w:spacing w:before="0" w:after="0" w:line="240" w:lineRule="auto"/>
              <w:jc w:val="left"/>
              <w:ind w:firstLine="0"/>
            </w:pPr>
            <w:r>
              <w:rPr>
                <w:sz w:val="24"/>
                <w:szCs w:val="24"/>
              </w:rPr>
              <w:t xml:space="preserve">Изменение настроек уведомлений</w:t>
            </w:r>
          </w:p>
        </w:tc>
        <w:tc>
          <w:tcPr/>
          <w:p>
            <w:pPr>
              <w:pStyle w:val="Compact"/>
              <w:spacing w:before="0" w:after="0" w:line="240" w:lineRule="auto"/>
              <w:jc w:val="left"/>
              <w:ind w:firstLine="0"/>
            </w:pPr>
            <w:r>
              <w:rPr>
                <w:sz w:val="24"/>
                <w:szCs w:val="24"/>
              </w:rPr>
              <w:t xml:space="preserve">Собственная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Система</w:t>
            </w:r>
          </w:p>
        </w:tc>
        <w:tc>
          <w:tcPr/>
          <w:p>
            <w:pPr>
              <w:pStyle w:val="Compact"/>
              <w:spacing w:before="0" w:after="0" w:line="240" w:lineRule="auto"/>
              <w:jc w:val="left"/>
              <w:ind w:firstLine="0"/>
            </w:pPr>
            <w:r>
              <w:rPr>
                <w:rStyle w:val="VerbatimChar"/>
                <w:sz w:val="24"/>
                <w:szCs w:val="24"/>
              </w:rPr>
              <w:t xml:space="preserve">modules.read</w:t>
            </w:r>
          </w:p>
        </w:tc>
        <w:tc>
          <w:tcPr/>
          <w:p>
            <w:pPr>
              <w:pStyle w:val="Compact"/>
              <w:spacing w:before="0" w:after="0" w:line="240" w:lineRule="auto"/>
              <w:jc w:val="left"/>
              <w:ind w:firstLine="0"/>
            </w:pPr>
            <w:r>
              <w:rPr>
                <w:sz w:val="24"/>
                <w:szCs w:val="24"/>
              </w:rPr>
              <w:t xml:space="preserve">Доступ к разделу модулей платформы</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Система</w:t>
            </w:r>
          </w:p>
        </w:tc>
        <w:tc>
          <w:tcPr/>
          <w:p>
            <w:pPr>
              <w:pStyle w:val="Compact"/>
              <w:spacing w:before="0" w:after="0" w:line="240" w:lineRule="auto"/>
              <w:jc w:val="left"/>
              <w:ind w:firstLine="0"/>
            </w:pPr>
            <w:r>
              <w:rPr>
                <w:rStyle w:val="VerbatimChar"/>
                <w:sz w:val="24"/>
                <w:szCs w:val="24"/>
              </w:rPr>
              <w:t xml:space="preserve">system.read</w:t>
            </w:r>
          </w:p>
        </w:tc>
        <w:tc>
          <w:tcPr/>
          <w:p>
            <w:pPr>
              <w:pStyle w:val="Compact"/>
              <w:spacing w:before="0" w:after="0" w:line="240" w:lineRule="auto"/>
              <w:jc w:val="left"/>
              <w:ind w:firstLine="0"/>
            </w:pPr>
            <w:r>
              <w:rPr>
                <w:sz w:val="24"/>
                <w:szCs w:val="24"/>
              </w:rPr>
              <w:t xml:space="preserve">Доступ к разделу системных интеграций</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education.read</w:t>
            </w:r>
          </w:p>
        </w:tc>
        <w:tc>
          <w:tcPr/>
          <w:p>
            <w:pPr>
              <w:pStyle w:val="Compact"/>
              <w:spacing w:before="0" w:after="0" w:line="240" w:lineRule="auto"/>
              <w:jc w:val="left"/>
              <w:ind w:firstLine="0"/>
            </w:pPr>
            <w:r>
              <w:rPr>
                <w:sz w:val="24"/>
                <w:szCs w:val="24"/>
              </w:rPr>
              <w:t xml:space="preserve">Доступ к разделу образования</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education.courses.read</w:t>
            </w:r>
          </w:p>
        </w:tc>
        <w:tc>
          <w:tcPr/>
          <w:p>
            <w:pPr>
              <w:pStyle w:val="Compact"/>
              <w:spacing w:before="0" w:after="0" w:line="240" w:lineRule="auto"/>
              <w:jc w:val="left"/>
              <w:ind w:firstLine="0"/>
            </w:pPr>
            <w:r>
              <w:rPr>
                <w:sz w:val="24"/>
                <w:szCs w:val="24"/>
              </w:rPr>
              <w:t xml:space="preserve">Просмотр учебных курсов и тем</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education.courses.manage</w:t>
            </w:r>
          </w:p>
        </w:tc>
        <w:tc>
          <w:tcPr/>
          <w:p>
            <w:pPr>
              <w:pStyle w:val="Compact"/>
              <w:spacing w:before="0" w:after="0" w:line="240" w:lineRule="auto"/>
              <w:jc w:val="left"/>
              <w:ind w:firstLine="0"/>
            </w:pPr>
            <w:r>
              <w:rPr>
                <w:sz w:val="24"/>
                <w:szCs w:val="24"/>
              </w:rPr>
              <w:t xml:space="preserve">Создание и изменение курсов и тем</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 Преподаватель</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education.groups.read</w:t>
            </w:r>
          </w:p>
        </w:tc>
        <w:tc>
          <w:tcPr/>
          <w:p>
            <w:pPr>
              <w:pStyle w:val="Compact"/>
              <w:spacing w:before="0" w:after="0" w:line="240" w:lineRule="auto"/>
              <w:jc w:val="left"/>
              <w:ind w:firstLine="0"/>
            </w:pPr>
            <w:r>
              <w:rPr>
                <w:sz w:val="24"/>
                <w:szCs w:val="24"/>
              </w:rPr>
              <w:t xml:space="preserve">Просмотр учебных групп</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education.groups.manage</w:t>
            </w:r>
          </w:p>
        </w:tc>
        <w:tc>
          <w:tcPr/>
          <w:p>
            <w:pPr>
              <w:pStyle w:val="Compact"/>
              <w:spacing w:before="0" w:after="0" w:line="240" w:lineRule="auto"/>
              <w:jc w:val="left"/>
              <w:ind w:firstLine="0"/>
            </w:pPr>
            <w:r>
              <w:rPr>
                <w:sz w:val="24"/>
                <w:szCs w:val="24"/>
              </w:rPr>
              <w:t xml:space="preserve">Управление жизненным циклом групп</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 Преподаватель</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education.groups.members.read</w:t>
            </w:r>
          </w:p>
        </w:tc>
        <w:tc>
          <w:tcPr/>
          <w:p>
            <w:pPr>
              <w:pStyle w:val="Compact"/>
              <w:spacing w:before="0" w:after="0" w:line="240" w:lineRule="auto"/>
              <w:jc w:val="left"/>
              <w:ind w:firstLine="0"/>
            </w:pPr>
            <w:r>
              <w:rPr>
                <w:sz w:val="24"/>
                <w:szCs w:val="24"/>
              </w:rPr>
              <w:t xml:space="preserve">Просмотр состава групп</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 Преподаватель</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education.groups.members.manage</w:t>
            </w:r>
          </w:p>
        </w:tc>
        <w:tc>
          <w:tcPr/>
          <w:p>
            <w:pPr>
              <w:pStyle w:val="Compact"/>
              <w:spacing w:before="0" w:after="0" w:line="240" w:lineRule="auto"/>
              <w:jc w:val="left"/>
              <w:ind w:firstLine="0"/>
            </w:pPr>
            <w:r>
              <w:rPr>
                <w:sz w:val="24"/>
                <w:szCs w:val="24"/>
              </w:rPr>
              <w:t xml:space="preserve">Ввод студентов в группу</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education.library.read</w:t>
            </w:r>
          </w:p>
        </w:tc>
        <w:tc>
          <w:tcPr/>
          <w:p>
            <w:pPr>
              <w:pStyle w:val="Compact"/>
              <w:spacing w:before="0" w:after="0" w:line="240" w:lineRule="auto"/>
              <w:jc w:val="left"/>
              <w:ind w:firstLine="0"/>
            </w:pPr>
            <w:r>
              <w:rPr>
                <w:sz w:val="24"/>
                <w:szCs w:val="24"/>
              </w:rPr>
              <w:t xml:space="preserve">Просмотр библиотеки материалов</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education.question_bank.read</w:t>
            </w:r>
          </w:p>
        </w:tc>
        <w:tc>
          <w:tcPr/>
          <w:p>
            <w:pPr>
              <w:pStyle w:val="Compact"/>
              <w:spacing w:before="0" w:after="0" w:line="240" w:lineRule="auto"/>
              <w:jc w:val="left"/>
              <w:ind w:firstLine="0"/>
            </w:pPr>
            <w:r>
              <w:rPr>
                <w:sz w:val="24"/>
                <w:szCs w:val="24"/>
              </w:rPr>
              <w:t xml:space="preserve">Просмотр банка вопросов</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 Преподаватель</w:t>
            </w:r>
          </w:p>
        </w:tc>
      </w:tr>
      <w:tr>
        <w:trPr>
          <w:cantSplit/>
        </w:trPr>
        <w:tc>
          <w:tcPr/>
          <w:p>
            <w:pPr>
              <w:pStyle w:val="Compact"/>
              <w:spacing w:before="0" w:after="0" w:line="240" w:lineRule="auto"/>
              <w:jc w:val="left"/>
              <w:ind w:firstLine="0"/>
            </w:pPr>
            <w:r>
              <w:rPr>
                <w:sz w:val="24"/>
                <w:szCs w:val="24"/>
              </w:rPr>
              <w:t xml:space="preserve">Образование</w:t>
            </w:r>
          </w:p>
        </w:tc>
        <w:tc>
          <w:tcPr/>
          <w:p>
            <w:pPr>
              <w:pStyle w:val="Compact"/>
              <w:spacing w:before="0" w:after="0" w:line="240" w:lineRule="auto"/>
              <w:jc w:val="left"/>
              <w:ind w:firstLine="0"/>
            </w:pPr>
            <w:r>
              <w:rPr>
                <w:rStyle w:val="VerbatimChar"/>
                <w:sz w:val="24"/>
                <w:szCs w:val="24"/>
              </w:rPr>
              <w:t xml:space="preserve">education.question_bank.manage</w:t>
            </w:r>
          </w:p>
        </w:tc>
        <w:tc>
          <w:tcPr/>
          <w:p>
            <w:pPr>
              <w:pStyle w:val="Compact"/>
              <w:spacing w:before="0" w:after="0" w:line="240" w:lineRule="auto"/>
              <w:jc w:val="left"/>
              <w:ind w:firstLine="0"/>
            </w:pPr>
            <w:r>
              <w:rPr>
                <w:sz w:val="24"/>
                <w:szCs w:val="24"/>
              </w:rPr>
              <w:t xml:space="preserve">Управление банком вопросов</w:t>
            </w:r>
          </w:p>
        </w:tc>
        <w:tc>
          <w:tcPr/>
          <w:p>
            <w:pPr>
              <w:pStyle w:val="Compact"/>
              <w:spacing w:before="0" w:after="0" w:line="240" w:lineRule="auto"/>
              <w:jc w:val="left"/>
              <w:ind w:firstLine="0"/>
            </w:pPr>
            <w:r>
              <w:rPr>
                <w:sz w:val="24"/>
                <w:szCs w:val="24"/>
              </w:rPr>
              <w:t xml:space="preserve">Глобальная и ресурсная</w:t>
            </w:r>
          </w:p>
        </w:tc>
        <w:tc>
          <w:tcPr/>
          <w:p>
            <w:pPr>
              <w:pStyle w:val="Compact"/>
              <w:spacing w:before="0" w:after="0" w:line="240" w:lineRule="auto"/>
              <w:jc w:val="left"/>
              <w:ind w:firstLine="0"/>
            </w:pPr>
            <w:r>
              <w:rPr>
                <w:sz w:val="24"/>
                <w:szCs w:val="24"/>
              </w:rPr>
              <w:t xml:space="preserve">Администратор, Преподаватель</w:t>
            </w:r>
          </w:p>
        </w:tc>
      </w:tr>
      <w:tr>
        <w:trPr>
          <w:cantSplit/>
        </w:trPr>
        <w:tc>
          <w:tcPr/>
          <w:p>
            <w:pPr>
              <w:pStyle w:val="Compact"/>
              <w:spacing w:before="0" w:after="0" w:line="240" w:lineRule="auto"/>
              <w:jc w:val="left"/>
              <w:ind w:firstLine="0"/>
            </w:pPr>
            <w:r>
              <w:rPr>
                <w:sz w:val="24"/>
                <w:szCs w:val="24"/>
              </w:rPr>
              <w:t xml:space="preserve">Мониторинг</w:t>
            </w:r>
          </w:p>
        </w:tc>
        <w:tc>
          <w:tcPr/>
          <w:p>
            <w:pPr>
              <w:pStyle w:val="Compact"/>
              <w:spacing w:before="0" w:after="0" w:line="240" w:lineRule="auto"/>
              <w:jc w:val="left"/>
              <w:ind w:firstLine="0"/>
            </w:pPr>
            <w:r>
              <w:rPr>
                <w:rStyle w:val="VerbatimChar"/>
                <w:sz w:val="24"/>
                <w:szCs w:val="24"/>
              </w:rPr>
              <w:t xml:space="preserve">monitoring.read</w:t>
            </w:r>
          </w:p>
        </w:tc>
        <w:tc>
          <w:tcPr/>
          <w:p>
            <w:pPr>
              <w:pStyle w:val="Compact"/>
              <w:spacing w:before="0" w:after="0" w:line="240" w:lineRule="auto"/>
              <w:jc w:val="left"/>
              <w:ind w:firstLine="0"/>
            </w:pPr>
            <w:r>
              <w:rPr>
                <w:sz w:val="24"/>
                <w:szCs w:val="24"/>
              </w:rPr>
              <w:t xml:space="preserve">Доступ к разделу мониторинга</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Мониторинг</w:t>
            </w:r>
          </w:p>
        </w:tc>
        <w:tc>
          <w:tcPr/>
          <w:p>
            <w:pPr>
              <w:pStyle w:val="Compact"/>
              <w:spacing w:before="0" w:after="0" w:line="240" w:lineRule="auto"/>
              <w:jc w:val="left"/>
              <w:ind w:firstLine="0"/>
            </w:pPr>
            <w:r>
              <w:rPr>
                <w:rStyle w:val="VerbatimChar"/>
                <w:sz w:val="24"/>
                <w:szCs w:val="24"/>
              </w:rPr>
              <w:t xml:space="preserve">monitoring.logs.read</w:t>
            </w:r>
          </w:p>
        </w:tc>
        <w:tc>
          <w:tcPr/>
          <w:p>
            <w:pPr>
              <w:pStyle w:val="Compact"/>
              <w:spacing w:before="0" w:after="0" w:line="240" w:lineRule="auto"/>
              <w:jc w:val="left"/>
              <w:ind w:firstLine="0"/>
            </w:pPr>
            <w:r>
              <w:rPr>
                <w:sz w:val="24"/>
                <w:szCs w:val="24"/>
              </w:rPr>
              <w:t xml:space="preserve">Просмотр аудитных и системных журналов</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Мониторинг</w:t>
            </w:r>
          </w:p>
        </w:tc>
        <w:tc>
          <w:tcPr/>
          <w:p>
            <w:pPr>
              <w:pStyle w:val="Compact"/>
              <w:spacing w:before="0" w:after="0" w:line="240" w:lineRule="auto"/>
              <w:jc w:val="left"/>
              <w:ind w:firstLine="0"/>
            </w:pPr>
            <w:r>
              <w:rPr>
                <w:rStyle w:val="VerbatimChar"/>
                <w:sz w:val="24"/>
                <w:szCs w:val="24"/>
              </w:rPr>
              <w:t xml:space="preserve">monitoring.system_info.read</w:t>
            </w:r>
          </w:p>
        </w:tc>
        <w:tc>
          <w:tcPr/>
          <w:p>
            <w:pPr>
              <w:pStyle w:val="Compact"/>
              <w:spacing w:before="0" w:after="0" w:line="240" w:lineRule="auto"/>
              <w:jc w:val="left"/>
              <w:ind w:firstLine="0"/>
            </w:pPr>
            <w:r>
              <w:rPr>
                <w:sz w:val="24"/>
                <w:szCs w:val="24"/>
              </w:rPr>
              <w:t xml:space="preserve">Просмотр системной информации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Мониторинг</w:t>
            </w:r>
          </w:p>
        </w:tc>
        <w:tc>
          <w:tcPr/>
          <w:p>
            <w:pPr>
              <w:pStyle w:val="Compact"/>
              <w:spacing w:before="0" w:after="0" w:line="240" w:lineRule="auto"/>
              <w:jc w:val="left"/>
              <w:ind w:firstLine="0"/>
            </w:pPr>
            <w:r>
              <w:rPr>
                <w:rStyle w:val="VerbatimChar"/>
                <w:sz w:val="24"/>
                <w:szCs w:val="24"/>
              </w:rPr>
              <w:t xml:space="preserve">monitoring.db_diagnostics.read</w:t>
            </w:r>
          </w:p>
        </w:tc>
        <w:tc>
          <w:tcPr/>
          <w:p>
            <w:pPr>
              <w:pStyle w:val="Compact"/>
              <w:spacing w:before="0" w:after="0" w:line="240" w:lineRule="auto"/>
              <w:jc w:val="left"/>
              <w:ind w:firstLine="0"/>
            </w:pPr>
            <w:r>
              <w:rPr>
                <w:sz w:val="24"/>
                <w:szCs w:val="24"/>
              </w:rPr>
              <w:t xml:space="preserve">Просмотр диагностики базы данных</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Мониторинг</w:t>
            </w:r>
          </w:p>
        </w:tc>
        <w:tc>
          <w:tcPr/>
          <w:p>
            <w:pPr>
              <w:pStyle w:val="Compact"/>
              <w:spacing w:before="0" w:after="0" w:line="240" w:lineRule="auto"/>
              <w:jc w:val="left"/>
              <w:ind w:firstLine="0"/>
            </w:pPr>
            <w:r>
              <w:rPr>
                <w:rStyle w:val="VerbatimChar"/>
                <w:sz w:val="24"/>
                <w:szCs w:val="24"/>
              </w:rPr>
              <w:t xml:space="preserve">monitoring.k8s_diagnostics.read</w:t>
            </w:r>
          </w:p>
        </w:tc>
        <w:tc>
          <w:tcPr/>
          <w:p>
            <w:pPr>
              <w:pStyle w:val="Compact"/>
              <w:spacing w:before="0" w:after="0" w:line="240" w:lineRule="auto"/>
              <w:jc w:val="left"/>
              <w:ind w:firstLine="0"/>
            </w:pPr>
            <w:r>
              <w:rPr>
                <w:sz w:val="24"/>
                <w:szCs w:val="24"/>
              </w:rPr>
              <w:t xml:space="preserve">Диагностика ресурсов Kubernetes</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permissions.read</w:t>
            </w:r>
          </w:p>
        </w:tc>
        <w:tc>
          <w:tcPr/>
          <w:p>
            <w:pPr>
              <w:pStyle w:val="Compact"/>
              <w:spacing w:before="0" w:after="0" w:line="240" w:lineRule="auto"/>
              <w:jc w:val="left"/>
              <w:ind w:firstLine="0"/>
            </w:pPr>
            <w:r>
              <w:rPr>
                <w:sz w:val="24"/>
                <w:szCs w:val="24"/>
              </w:rPr>
              <w:t xml:space="preserve">Доступ к управлению доступами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permissions.users.read</w:t>
            </w:r>
          </w:p>
        </w:tc>
        <w:tc>
          <w:tcPr/>
          <w:p>
            <w:pPr>
              <w:pStyle w:val="Compact"/>
              <w:spacing w:before="0" w:after="0" w:line="240" w:lineRule="auto"/>
              <w:jc w:val="left"/>
              <w:ind w:firstLine="0"/>
            </w:pPr>
            <w:r>
              <w:rPr>
                <w:sz w:val="24"/>
                <w:szCs w:val="24"/>
              </w:rPr>
              <w:t xml:space="preserve">Просмотр пользователей и ролей</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permissions.users.manage</w:t>
            </w:r>
          </w:p>
        </w:tc>
        <w:tc>
          <w:tcPr/>
          <w:p>
            <w:pPr>
              <w:pStyle w:val="Compact"/>
              <w:spacing w:before="0" w:after="0" w:line="240" w:lineRule="auto"/>
              <w:jc w:val="left"/>
              <w:ind w:firstLine="0"/>
            </w:pPr>
            <w:r>
              <w:rPr>
                <w:sz w:val="24"/>
                <w:szCs w:val="24"/>
              </w:rPr>
              <w:t xml:space="preserve">Управление учётными записями (административный API)</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permissions.users.credentials.manage</w:t>
            </w:r>
          </w:p>
        </w:tc>
        <w:tc>
          <w:tcPr/>
          <w:p>
            <w:pPr>
              <w:pStyle w:val="Compact"/>
              <w:spacing w:before="0" w:after="0" w:line="240" w:lineRule="auto"/>
              <w:jc w:val="left"/>
              <w:ind w:firstLine="0"/>
            </w:pPr>
            <w:r>
              <w:rPr>
                <w:sz w:val="24"/>
                <w:szCs w:val="24"/>
              </w:rPr>
              <w:t xml:space="preserve">Управление учётными данными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permissions.groups.read</w:t>
            </w:r>
          </w:p>
        </w:tc>
        <w:tc>
          <w:tcPr/>
          <w:p>
            <w:pPr>
              <w:pStyle w:val="Compact"/>
              <w:spacing w:before="0" w:after="0" w:line="240" w:lineRule="auto"/>
              <w:jc w:val="left"/>
              <w:ind w:firstLine="0"/>
            </w:pPr>
            <w:r>
              <w:rPr>
                <w:sz w:val="24"/>
                <w:szCs w:val="24"/>
              </w:rPr>
              <w:t xml:space="preserve">Просмотр снимков групп прав</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permissions.groups.manage</w:t>
            </w:r>
          </w:p>
        </w:tc>
        <w:tc>
          <w:tcPr/>
          <w:p>
            <w:pPr>
              <w:pStyle w:val="Compact"/>
              <w:spacing w:before="0" w:after="0" w:line="240" w:lineRule="auto"/>
              <w:jc w:val="left"/>
              <w:ind w:firstLine="0"/>
            </w:pPr>
            <w:r>
              <w:rPr>
                <w:sz w:val="24"/>
                <w:szCs w:val="24"/>
              </w:rPr>
              <w:t xml:space="preserve">Управление назначениями наборов прав</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permissions.roles.read</w:t>
            </w:r>
          </w:p>
        </w:tc>
        <w:tc>
          <w:tcPr/>
          <w:p>
            <w:pPr>
              <w:pStyle w:val="Compact"/>
              <w:spacing w:before="0" w:after="0" w:line="240" w:lineRule="auto"/>
              <w:jc w:val="left"/>
              <w:ind w:firstLine="0"/>
            </w:pPr>
            <w:r>
              <w:rPr>
                <w:sz w:val="24"/>
                <w:szCs w:val="24"/>
              </w:rPr>
              <w:t xml:space="preserve">Просмотр сопоставлений ролей</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Доступы</w:t>
            </w:r>
          </w:p>
        </w:tc>
        <w:tc>
          <w:tcPr/>
          <w:p>
            <w:pPr>
              <w:pStyle w:val="Compact"/>
              <w:spacing w:before="0" w:after="0" w:line="240" w:lineRule="auto"/>
              <w:jc w:val="left"/>
              <w:ind w:firstLine="0"/>
            </w:pPr>
            <w:r>
              <w:rPr>
                <w:rStyle w:val="VerbatimChar"/>
                <w:sz w:val="24"/>
                <w:szCs w:val="24"/>
              </w:rPr>
              <w:t xml:space="preserve">permissions.roles.manage</w:t>
            </w:r>
          </w:p>
        </w:tc>
        <w:tc>
          <w:tcPr/>
          <w:p>
            <w:pPr>
              <w:pStyle w:val="Compact"/>
              <w:spacing w:before="0" w:after="0" w:line="240" w:lineRule="auto"/>
              <w:jc w:val="left"/>
              <w:ind w:firstLine="0"/>
            </w:pPr>
            <w:r>
              <w:rPr>
                <w:sz w:val="24"/>
                <w:szCs w:val="24"/>
              </w:rPr>
              <w:t xml:space="preserve">Управление ролями и грантами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auth.bootstrap.read</w:t>
            </w:r>
          </w:p>
        </w:tc>
        <w:tc>
          <w:tcPr/>
          <w:p>
            <w:pPr>
              <w:pStyle w:val="Compact"/>
              <w:spacing w:before="0" w:after="0" w:line="240" w:lineRule="auto"/>
              <w:jc w:val="left"/>
              <w:ind w:firstLine="0"/>
            </w:pPr>
            <w:r>
              <w:rPr>
                <w:sz w:val="24"/>
                <w:szCs w:val="24"/>
              </w:rPr>
              <w:t xml:space="preserve">Чтение базового контекста сессии</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Все</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onboarding.teacher.create</w:t>
            </w:r>
          </w:p>
        </w:tc>
        <w:tc>
          <w:tcPr/>
          <w:p>
            <w:pPr>
              <w:pStyle w:val="Compact"/>
              <w:spacing w:before="0" w:after="0" w:line="240" w:lineRule="auto"/>
              <w:jc w:val="left"/>
              <w:ind w:firstLine="0"/>
            </w:pPr>
            <w:r>
              <w:rPr>
                <w:sz w:val="24"/>
                <w:szCs w:val="24"/>
              </w:rPr>
              <w:t xml:space="preserve">Создание профиля преподавателя</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onboarding.group.create</w:t>
            </w:r>
          </w:p>
        </w:tc>
        <w:tc>
          <w:tcPr/>
          <w:p>
            <w:pPr>
              <w:pStyle w:val="Compact"/>
              <w:spacing w:before="0" w:after="0" w:line="240" w:lineRule="auto"/>
              <w:jc w:val="left"/>
              <w:ind w:firstLine="0"/>
            </w:pPr>
            <w:r>
              <w:rPr>
                <w:sz w:val="24"/>
                <w:szCs w:val="24"/>
              </w:rPr>
              <w:t xml:space="preserve">Регистрация новой учебной группы</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onboarding.group.assign_teacher</w:t>
            </w:r>
          </w:p>
        </w:tc>
        <w:tc>
          <w:tcPr/>
          <w:p>
            <w:pPr>
              <w:pStyle w:val="Compact"/>
              <w:spacing w:before="0" w:after="0" w:line="240" w:lineRule="auto"/>
              <w:jc w:val="left"/>
              <w:ind w:firstLine="0"/>
            </w:pPr>
            <w:r>
              <w:rPr>
                <w:sz w:val="24"/>
                <w:szCs w:val="24"/>
              </w:rPr>
              <w:t xml:space="preserve">Назначение преподавателя в группу</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onboarding.student.bulk_create</w:t>
            </w:r>
          </w:p>
        </w:tc>
        <w:tc>
          <w:tcPr/>
          <w:p>
            <w:pPr>
              <w:pStyle w:val="Compact"/>
              <w:spacing w:before="0" w:after="0" w:line="240" w:lineRule="auto"/>
              <w:jc w:val="left"/>
              <w:ind w:firstLine="0"/>
            </w:pPr>
            <w:r>
              <w:rPr>
                <w:sz w:val="24"/>
                <w:szCs w:val="24"/>
              </w:rPr>
              <w:t xml:space="preserve">Массовый импорт студентов</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r>
        <w:trPr>
          <w:cantSplit/>
        </w:trPr>
        <w:tc>
          <w:tcPr/>
          <w:p>
            <w:pPr>
              <w:pStyle w:val="Compact"/>
              <w:spacing w:before="0" w:after="0" w:line="240" w:lineRule="auto"/>
              <w:jc w:val="left"/>
              <w:ind w:firstLine="0"/>
            </w:pPr>
            <w:r>
              <w:rPr>
                <w:sz w:val="24"/>
                <w:szCs w:val="24"/>
              </w:rPr>
              <w:t xml:space="preserve">Ввод пользователей</w:t>
            </w:r>
          </w:p>
        </w:tc>
        <w:tc>
          <w:tcPr/>
          <w:p>
            <w:pPr>
              <w:pStyle w:val="Compact"/>
              <w:spacing w:before="0" w:after="0" w:line="240" w:lineRule="auto"/>
              <w:jc w:val="left"/>
              <w:ind w:firstLine="0"/>
            </w:pPr>
            <w:r>
              <w:rPr>
                <w:rStyle w:val="VerbatimChar"/>
                <w:sz w:val="24"/>
                <w:szCs w:val="24"/>
              </w:rPr>
              <w:t xml:space="preserve">onboarding.credentials.consume</w:t>
            </w:r>
          </w:p>
        </w:tc>
        <w:tc>
          <w:tcPr/>
          <w:p>
            <w:pPr>
              <w:pStyle w:val="Compact"/>
              <w:spacing w:before="0" w:after="0" w:line="240" w:lineRule="auto"/>
              <w:jc w:val="left"/>
              <w:ind w:firstLine="0"/>
            </w:pPr>
            <w:r>
              <w:rPr>
                <w:sz w:val="24"/>
                <w:szCs w:val="24"/>
              </w:rPr>
              <w:t xml:space="preserve">Активация временных паролей</w:t>
            </w:r>
          </w:p>
        </w:tc>
        <w:tc>
          <w:tcPr/>
          <w:p>
            <w:pPr>
              <w:pStyle w:val="Compact"/>
              <w:spacing w:before="0" w:after="0" w:line="240" w:lineRule="auto"/>
              <w:jc w:val="left"/>
              <w:ind w:firstLine="0"/>
            </w:pPr>
            <w:r>
              <w:rPr>
                <w:sz w:val="24"/>
                <w:szCs w:val="24"/>
              </w:rPr>
              <w:t xml:space="preserve">Глобальная</w:t>
            </w:r>
          </w:p>
        </w:tc>
        <w:tc>
          <w:tcPr/>
          <w:p>
            <w:pPr>
              <w:pStyle w:val="Compact"/>
              <w:spacing w:before="0" w:after="0" w:line="240" w:lineRule="auto"/>
              <w:jc w:val="left"/>
              <w:ind w:firstLine="0"/>
            </w:pPr>
            <w:r>
              <w:rPr>
                <w:sz w:val="24"/>
                <w:szCs w:val="24"/>
              </w:rPr>
              <w:t xml:space="preserve">Администратор</w:t>
            </w:r>
          </w:p>
        </w:tc>
      </w:tr>
    </w:tbl>
    <w:bookmarkEnd w:id="98"/>
    <w:sectPr w:rsidR="00C332D0" w:rsidRPr="00BB42E1">
      <w:footerReference r:id="rId8" w:type="default"/>
      <w:pgSz w:h="16838" w:w="11906"/>
      <w:pgMar w:bottom="1134" w:footer="709" w:gutter="0" w:header="709" w:left="1701" w:right="850" w:top="1134"/>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4CB9" w14:textId="77777777" w:rsidR="00BB195E" w:rsidRDefault="0036790C">
    <w:pPr>
      <w:jc w:val="center"/>
    </w:pPr>
    <w:r>
      <w:fldChar w:fldCharType="begin"/>
    </w:r>
    <w:r>
      <w:instrText>PAGE</w:instrText>
    </w:r>
    <w:r>
      <w:fldChar w:fldCharType="separate"/>
    </w:r>
    <w:r>
      <w:t>1</w:t>
    </w:r>
    <w:r>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5647F04"/>
    <w:multiLevelType w:val="hybridMultilevel"/>
    <w:tmpl w:val="33FCB88A"/>
    <w:lvl w:ilvl="0" w:tplc="0DE0CDA2">
      <w:start w:val="1"/>
      <w:numFmt w:val="decimal"/>
      <w:lvlText w:val="%1."/>
      <w:lvlJc w:val="left"/>
      <w:pPr>
        <w:ind w:hanging="360" w:left="720"/>
      </w:pPr>
      <w:rPr>
        <w:rFonts w:ascii="Times New Roman" w:cs="Times New Roman" w:eastAsia="Times New Roman" w:hAnsi="Times New Roman"/>
      </w:rPr>
    </w:lvl>
    <w:lvl w:ilvl="1" w:tplc="373EC59A">
      <w:start w:val="1"/>
      <w:numFmt w:val="lowerLetter"/>
      <w:lvlText w:val="%2."/>
      <w:lvlJc w:val="left"/>
      <w:pPr>
        <w:ind w:hanging="360" w:left="1440"/>
      </w:pPr>
    </w:lvl>
    <w:lvl w:ilvl="2" w:tplc="35A2EDEC">
      <w:start w:val="1"/>
      <w:numFmt w:val="lowerRoman"/>
      <w:lvlText w:val="%3."/>
      <w:lvlJc w:val="right"/>
      <w:pPr>
        <w:ind w:hanging="180" w:left="2160"/>
      </w:pPr>
    </w:lvl>
    <w:lvl w:ilvl="3" w:tplc="328EBA5E">
      <w:start w:val="1"/>
      <w:numFmt w:val="decimal"/>
      <w:lvlText w:val="%4."/>
      <w:lvlJc w:val="left"/>
      <w:pPr>
        <w:ind w:hanging="360" w:left="2880"/>
      </w:pPr>
    </w:lvl>
    <w:lvl w:ilvl="4" w:tplc="25BCDEE6">
      <w:start w:val="1"/>
      <w:numFmt w:val="lowerLetter"/>
      <w:lvlText w:val="%5."/>
      <w:lvlJc w:val="left"/>
      <w:pPr>
        <w:ind w:hanging="360" w:left="3600"/>
      </w:pPr>
    </w:lvl>
    <w:lvl w:ilvl="5" w:tplc="A9BAB516">
      <w:start w:val="1"/>
      <w:numFmt w:val="lowerRoman"/>
      <w:lvlText w:val="%6."/>
      <w:lvlJc w:val="right"/>
      <w:pPr>
        <w:ind w:hanging="180" w:left="4320"/>
      </w:pPr>
    </w:lvl>
    <w:lvl w:ilvl="6" w:tplc="AD36969E">
      <w:start w:val="1"/>
      <w:numFmt w:val="decimal"/>
      <w:lvlText w:val="%7."/>
      <w:lvlJc w:val="left"/>
      <w:pPr>
        <w:ind w:hanging="360" w:left="5040"/>
      </w:pPr>
    </w:lvl>
    <w:lvl w:ilvl="7" w:tplc="B03809E0">
      <w:start w:val="1"/>
      <w:numFmt w:val="lowerLetter"/>
      <w:lvlText w:val="%8."/>
      <w:lvlJc w:val="left"/>
      <w:pPr>
        <w:ind w:hanging="360" w:left="5760"/>
      </w:pPr>
    </w:lvl>
    <w:lvl w:ilvl="8" w:tplc="3240482A">
      <w:start w:val="1"/>
      <w:numFmt w:val="lowerRoman"/>
      <w:lvlText w:val="%9."/>
      <w:lvlJc w:val="right"/>
      <w:pPr>
        <w:ind w:hanging="180" w:left="6480"/>
      </w:pPr>
    </w:lvl>
  </w:abstractNum>
  <w:abstractNum w15:restartNumberingAfterBreak="0" w:abstractNumId="1">
    <w:nsid w:val="06661E9A"/>
    <w:multiLevelType w:val="hybridMultilevel"/>
    <w:tmpl w:val="802ED1A8"/>
    <w:lvl w:ilvl="0" w:tplc="0419000F">
      <w:start w:val="1"/>
      <w:numFmt w:val="decimal"/>
      <w:lvlText w:val="%1."/>
      <w:lvlJc w:val="left"/>
      <w:pPr>
        <w:ind w:hanging="360" w:left="1429"/>
      </w:pPr>
    </w:lvl>
    <w:lvl w:ilvl="1" w:tplc="282449C2">
      <w:start w:val="1"/>
      <w:numFmt w:val="bullet"/>
      <w:lvlText w:val="–"/>
      <w:lvlJc w:val="left"/>
      <w:pPr>
        <w:ind w:hanging="360" w:left="2149"/>
      </w:pPr>
      <w:rPr/>
    </w:lvl>
    <w:lvl w:ilvl="2" w:tplc="F2043C38">
      <w:start w:val="1"/>
      <w:numFmt w:val="bullet"/>
      <w:lvlText w:val="–"/>
      <w:lvlJc w:val="left"/>
      <w:pPr>
        <w:ind w:hanging="360" w:left="2869"/>
      </w:pPr>
      <w:rPr/>
    </w:lvl>
    <w:lvl w:ilvl="3" w:tplc="96E088C6">
      <w:start w:val="1"/>
      <w:numFmt w:val="bullet"/>
      <w:lvlText w:val="–"/>
      <w:lvlJc w:val="left"/>
      <w:pPr>
        <w:ind w:hanging="360" w:left="3589"/>
      </w:pPr>
      <w:rPr/>
    </w:lvl>
    <w:lvl w:ilvl="4" w:tplc="A28EA626">
      <w:start w:val="1"/>
      <w:numFmt w:val="bullet"/>
      <w:lvlText w:val="–"/>
      <w:lvlJc w:val="left"/>
      <w:pPr>
        <w:ind w:hanging="360" w:left="4309"/>
      </w:pPr>
      <w:rPr/>
    </w:lvl>
    <w:lvl w:ilvl="5" w:tplc="76B8E8D4">
      <w:start w:val="1"/>
      <w:numFmt w:val="bullet"/>
      <w:lvlText w:val="–"/>
      <w:lvlJc w:val="left"/>
      <w:pPr>
        <w:ind w:hanging="360" w:left="5029"/>
      </w:pPr>
      <w:rPr/>
    </w:lvl>
    <w:lvl w:ilvl="6" w:tplc="A4D279BC">
      <w:start w:val="1"/>
      <w:numFmt w:val="bullet"/>
      <w:lvlText w:val="–"/>
      <w:lvlJc w:val="left"/>
      <w:pPr>
        <w:ind w:hanging="360" w:left="5749"/>
      </w:pPr>
      <w:rPr/>
    </w:lvl>
    <w:lvl w:ilvl="7" w:tplc="965AA38C">
      <w:start w:val="1"/>
      <w:numFmt w:val="bullet"/>
      <w:lvlText w:val="–"/>
      <w:lvlJc w:val="left"/>
      <w:pPr>
        <w:ind w:hanging="360" w:left="6469"/>
      </w:pPr>
      <w:rPr/>
    </w:lvl>
    <w:lvl w:ilvl="8" w:tplc="A81CA9DA">
      <w:start w:val="1"/>
      <w:numFmt w:val="bullet"/>
      <w:lvlText w:val="–"/>
      <w:lvlJc w:val="left"/>
      <w:pPr>
        <w:ind w:hanging="360" w:left="7189"/>
      </w:pPr>
      <w:rPr/>
    </w:lvl>
  </w:abstractNum>
  <w:abstractNum w15:restartNumberingAfterBreak="0" w:abstractNumId="2">
    <w:nsid w:val="08BC4D53"/>
    <w:multiLevelType w:val="hybridMultilevel"/>
    <w:tmpl w:val="3EFCB708"/>
    <w:lvl w:ilvl="0" w:tplc="7C1E0900">
      <w:start w:val="1"/>
      <w:numFmt w:val="bullet"/>
      <w:lvlText w:val="–"/>
      <w:lvlJc w:val="left"/>
      <w:pPr>
        <w:ind w:hanging="360" w:left="1429"/>
      </w:pPr>
      <w:rPr/>
    </w:lvl>
    <w:lvl w:ilvl="1" w:tplc="678E2614">
      <w:start w:val="1"/>
      <w:numFmt w:val="bullet"/>
      <w:lvlText w:val="–"/>
      <w:lvlJc w:val="left"/>
      <w:pPr>
        <w:ind w:hanging="360" w:left="2149"/>
      </w:pPr>
      <w:rPr/>
    </w:lvl>
    <w:lvl w:ilvl="2" w:tplc="33E44028">
      <w:start w:val="1"/>
      <w:numFmt w:val="bullet"/>
      <w:lvlText w:val="–"/>
      <w:lvlJc w:val="left"/>
      <w:pPr>
        <w:ind w:hanging="360" w:left="2869"/>
      </w:pPr>
      <w:rPr/>
    </w:lvl>
    <w:lvl w:ilvl="3" w:tplc="A25E7FEA">
      <w:start w:val="1"/>
      <w:numFmt w:val="bullet"/>
      <w:lvlText w:val="–"/>
      <w:lvlJc w:val="left"/>
      <w:pPr>
        <w:ind w:hanging="360" w:left="3589"/>
      </w:pPr>
      <w:rPr/>
    </w:lvl>
    <w:lvl w:ilvl="4" w:tplc="DCBA8AB2">
      <w:start w:val="1"/>
      <w:numFmt w:val="bullet"/>
      <w:lvlText w:val="–"/>
      <w:lvlJc w:val="left"/>
      <w:pPr>
        <w:ind w:hanging="360" w:left="4309"/>
      </w:pPr>
      <w:rPr/>
    </w:lvl>
    <w:lvl w:ilvl="5" w:tplc="57782E30">
      <w:start w:val="1"/>
      <w:numFmt w:val="bullet"/>
      <w:lvlText w:val="–"/>
      <w:lvlJc w:val="left"/>
      <w:pPr>
        <w:ind w:hanging="360" w:left="5029"/>
      </w:pPr>
      <w:rPr/>
    </w:lvl>
    <w:lvl w:ilvl="6" w:tplc="334651CE">
      <w:start w:val="1"/>
      <w:numFmt w:val="bullet"/>
      <w:lvlText w:val="–"/>
      <w:lvlJc w:val="left"/>
      <w:pPr>
        <w:ind w:hanging="360" w:left="5749"/>
      </w:pPr>
      <w:rPr/>
    </w:lvl>
    <w:lvl w:ilvl="7" w:tplc="9E580DF4">
      <w:start w:val="1"/>
      <w:numFmt w:val="bullet"/>
      <w:lvlText w:val="–"/>
      <w:lvlJc w:val="left"/>
      <w:pPr>
        <w:ind w:hanging="360" w:left="6469"/>
      </w:pPr>
      <w:rPr/>
    </w:lvl>
    <w:lvl w:ilvl="8" w:tplc="8C262E8E">
      <w:start w:val="1"/>
      <w:numFmt w:val="bullet"/>
      <w:lvlText w:val="–"/>
      <w:lvlJc w:val="left"/>
      <w:pPr>
        <w:ind w:hanging="360" w:left="7189"/>
      </w:pPr>
      <w:rPr/>
    </w:lvl>
  </w:abstractNum>
  <w:abstractNum w15:restartNumberingAfterBreak="0" w:abstractNumId="3">
    <w:nsid w:val="0A11562E"/>
    <w:multiLevelType w:val="hybridMultilevel"/>
    <w:tmpl w:val="E326D274"/>
    <w:lvl w:ilvl="0" w:tplc="7C1E0900">
      <w:start w:val="1"/>
      <w:numFmt w:val="bullet"/>
      <w:lvlText w:val="–"/>
      <w:lvlJc w:val="left"/>
      <w:pPr>
        <w:ind w:hanging="360" w:left="1571"/>
      </w:pPr>
      <w:rPr/>
    </w:lvl>
    <w:lvl w:ilvl="1" w:tplc="57ACBA58">
      <w:start w:val="1"/>
      <w:numFmt w:val="bullet"/>
      <w:lvlText w:val="–"/>
      <w:lvlJc w:val="left"/>
      <w:pPr>
        <w:ind w:hanging="360" w:left="2291"/>
      </w:pPr>
      <w:rPr/>
    </w:lvl>
    <w:lvl w:ilvl="2" w:tplc="5D340DDC">
      <w:start w:val="1"/>
      <w:numFmt w:val="bullet"/>
      <w:lvlText w:val="–"/>
      <w:lvlJc w:val="left"/>
      <w:pPr>
        <w:ind w:hanging="360" w:left="3011"/>
      </w:pPr>
      <w:rPr/>
    </w:lvl>
    <w:lvl w:ilvl="3" w:tplc="F67EFF74">
      <w:start w:val="1"/>
      <w:numFmt w:val="bullet"/>
      <w:lvlText w:val="–"/>
      <w:lvlJc w:val="left"/>
      <w:pPr>
        <w:ind w:hanging="360" w:left="3731"/>
      </w:pPr>
      <w:rPr/>
    </w:lvl>
    <w:lvl w:ilvl="4" w:tplc="CEB22D42">
      <w:start w:val="1"/>
      <w:numFmt w:val="bullet"/>
      <w:lvlText w:val="–"/>
      <w:lvlJc w:val="left"/>
      <w:pPr>
        <w:ind w:hanging="360" w:left="4451"/>
      </w:pPr>
      <w:rPr/>
    </w:lvl>
    <w:lvl w:ilvl="5" w:tplc="C428D99C">
      <w:start w:val="1"/>
      <w:numFmt w:val="bullet"/>
      <w:lvlText w:val="–"/>
      <w:lvlJc w:val="left"/>
      <w:pPr>
        <w:ind w:hanging="360" w:left="5171"/>
      </w:pPr>
      <w:rPr/>
    </w:lvl>
    <w:lvl w:ilvl="6" w:tplc="D0CCC920">
      <w:start w:val="1"/>
      <w:numFmt w:val="bullet"/>
      <w:lvlText w:val="–"/>
      <w:lvlJc w:val="left"/>
      <w:pPr>
        <w:ind w:hanging="360" w:left="5891"/>
      </w:pPr>
      <w:rPr/>
    </w:lvl>
    <w:lvl w:ilvl="7" w:tplc="81A61CA0">
      <w:start w:val="1"/>
      <w:numFmt w:val="bullet"/>
      <w:lvlText w:val="–"/>
      <w:lvlJc w:val="left"/>
      <w:pPr>
        <w:ind w:hanging="360" w:left="6611"/>
      </w:pPr>
      <w:rPr/>
    </w:lvl>
    <w:lvl w:ilvl="8" w:tplc="A8F657B8">
      <w:start w:val="1"/>
      <w:numFmt w:val="bullet"/>
      <w:lvlText w:val="–"/>
      <w:lvlJc w:val="left"/>
      <w:pPr>
        <w:ind w:hanging="360" w:left="7331"/>
      </w:pPr>
      <w:rPr/>
    </w:lvl>
  </w:abstractNum>
  <w:abstractNum w15:restartNumberingAfterBreak="0" w:abstractNumId="4">
    <w:nsid w:val="10E717D3"/>
    <w:multiLevelType w:val="hybridMultilevel"/>
    <w:tmpl w:val="41A4C286"/>
    <w:lvl w:ilvl="0" w:tplc="4BBE200E">
      <w:start w:val="1"/>
      <w:numFmt w:val="bullet"/>
      <w:lvlText w:val="–"/>
      <w:lvlJc w:val="left"/>
      <w:pPr>
        <w:tabs>
          <w:tab w:pos="720" w:val="num"/>
        </w:tabs>
        <w:ind w:hanging="360" w:left="720"/>
      </w:pPr>
      <w:rPr>
        <w:b w:val="0"/>
        <w:bCs/>
        <w:sz w:val="28"/>
        <w:szCs w:val="28"/>
      </w:rPr>
    </w:lvl>
    <w:lvl w:ilvl="1" w:tplc="35CE9452">
      <w:start w:val="1"/>
      <w:numFmt w:val="bullet"/>
      <w:lvlText w:val="–"/>
      <w:lvlJc w:val="left"/>
      <w:pPr>
        <w:tabs>
          <w:tab w:pos="1440" w:val="num"/>
        </w:tabs>
        <w:ind w:hanging="360" w:left="1440"/>
      </w:pPr>
      <w:rPr/>
    </w:lvl>
    <w:lvl w:ilvl="2" w:tplc="78A83300">
      <w:start w:val="1"/>
      <w:numFmt w:val="decimal"/>
      <w:lvlText w:val="%3."/>
      <w:lvlJc w:val="left"/>
      <w:pPr>
        <w:tabs>
          <w:tab w:pos="2160" w:val="num"/>
        </w:tabs>
        <w:ind w:hanging="360" w:left="2160"/>
      </w:pPr>
      <w:rPr>
        <w:rFonts w:ascii="Times New Roman" w:cs="Times New Roman" w:hAnsi="Times New Roman"/>
      </w:rPr>
    </w:lvl>
    <w:lvl w:ilvl="3" w:tplc="E2347F8A">
      <w:start w:val="1"/>
      <w:numFmt w:val="decimal"/>
      <w:lvlText w:val="%4."/>
      <w:lvlJc w:val="left"/>
      <w:pPr>
        <w:tabs>
          <w:tab w:pos="2880" w:val="num"/>
        </w:tabs>
        <w:ind w:hanging="360" w:left="2880"/>
      </w:pPr>
      <w:rPr>
        <w:rFonts w:ascii="Times New Roman" w:cs="Times New Roman" w:hAnsi="Times New Roman"/>
      </w:rPr>
    </w:lvl>
    <w:lvl w:ilvl="4" w:tplc="48623130">
      <w:start w:val="1"/>
      <w:numFmt w:val="decimal"/>
      <w:lvlText w:val="%5."/>
      <w:lvlJc w:val="left"/>
      <w:pPr>
        <w:tabs>
          <w:tab w:pos="3600" w:val="num"/>
        </w:tabs>
        <w:ind w:hanging="360" w:left="3600"/>
      </w:pPr>
      <w:rPr>
        <w:rFonts w:ascii="Times New Roman" w:cs="Times New Roman" w:hAnsi="Times New Roman"/>
      </w:rPr>
    </w:lvl>
    <w:lvl w:ilvl="5" w:tplc="6D48BEE4">
      <w:start w:val="1"/>
      <w:numFmt w:val="decimal"/>
      <w:lvlText w:val="%6."/>
      <w:lvlJc w:val="left"/>
      <w:pPr>
        <w:tabs>
          <w:tab w:pos="4320" w:val="num"/>
        </w:tabs>
        <w:ind w:hanging="360" w:left="4320"/>
      </w:pPr>
      <w:rPr>
        <w:rFonts w:ascii="Times New Roman" w:cs="Times New Roman" w:hAnsi="Times New Roman"/>
      </w:rPr>
    </w:lvl>
    <w:lvl w:ilvl="6" w:tplc="E29C0418">
      <w:start w:val="1"/>
      <w:numFmt w:val="decimal"/>
      <w:lvlText w:val="%7."/>
      <w:lvlJc w:val="left"/>
      <w:pPr>
        <w:tabs>
          <w:tab w:pos="5040" w:val="num"/>
        </w:tabs>
        <w:ind w:hanging="360" w:left="5040"/>
      </w:pPr>
      <w:rPr>
        <w:rFonts w:ascii="Times New Roman" w:cs="Times New Roman" w:hAnsi="Times New Roman"/>
      </w:rPr>
    </w:lvl>
    <w:lvl w:ilvl="7" w:tplc="900A667E">
      <w:start w:val="1"/>
      <w:numFmt w:val="decimal"/>
      <w:lvlText w:val="%8."/>
      <w:lvlJc w:val="left"/>
      <w:pPr>
        <w:tabs>
          <w:tab w:pos="5760" w:val="num"/>
        </w:tabs>
        <w:ind w:hanging="360" w:left="5760"/>
      </w:pPr>
      <w:rPr>
        <w:rFonts w:ascii="Times New Roman" w:cs="Times New Roman" w:hAnsi="Times New Roman"/>
      </w:rPr>
    </w:lvl>
    <w:lvl w:ilvl="8" w:tplc="5B762764">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5">
    <w:nsid w:val="14B3414B"/>
    <w:multiLevelType w:val="hybridMultilevel"/>
    <w:tmpl w:val="376C8B98"/>
    <w:lvl w:ilvl="0" w:tplc="7C1E0900">
      <w:start w:val="1"/>
      <w:numFmt w:val="bullet"/>
      <w:lvlText w:val="–"/>
      <w:lvlJc w:val="left"/>
      <w:pPr>
        <w:tabs>
          <w:tab w:pos="720" w:val="num"/>
        </w:tabs>
        <w:ind w:hanging="360" w:left="720"/>
      </w:pPr>
      <w:rPr>
        <w:sz w:val="20"/>
      </w:rPr>
    </w:lvl>
    <w:lvl w:ilvl="1" w:tplc="FBA8F542">
      <w:start w:val="1"/>
      <w:numFmt w:val="bullet"/>
      <w:lvlText w:val="–"/>
      <w:lvlJc w:val="left"/>
      <w:pPr>
        <w:tabs>
          <w:tab w:pos="1440" w:val="num"/>
        </w:tabs>
        <w:ind w:hanging="360" w:left="1440"/>
      </w:pPr>
      <w:rPr>
        <w:sz w:val="20"/>
      </w:rPr>
    </w:lvl>
    <w:lvl w:ilvl="2" w:tplc="76C602EA">
      <w:start w:val="1"/>
      <w:numFmt w:val="bullet"/>
      <w:lvlText w:val="–"/>
      <w:lvlJc w:val="left"/>
      <w:pPr>
        <w:tabs>
          <w:tab w:pos="2160" w:val="num"/>
        </w:tabs>
        <w:ind w:hanging="360" w:left="2160"/>
      </w:pPr>
      <w:rPr>
        <w:sz w:val="20"/>
      </w:rPr>
    </w:lvl>
    <w:lvl w:ilvl="3" w:tplc="1C148882">
      <w:start w:val="1"/>
      <w:numFmt w:val="bullet"/>
      <w:lvlText w:val="–"/>
      <w:lvlJc w:val="left"/>
      <w:pPr>
        <w:tabs>
          <w:tab w:pos="2880" w:val="num"/>
        </w:tabs>
        <w:ind w:hanging="360" w:left="2880"/>
      </w:pPr>
      <w:rPr>
        <w:sz w:val="20"/>
      </w:rPr>
    </w:lvl>
    <w:lvl w:ilvl="4" w:tplc="63DA37CA">
      <w:start w:val="1"/>
      <w:numFmt w:val="bullet"/>
      <w:lvlText w:val="–"/>
      <w:lvlJc w:val="left"/>
      <w:pPr>
        <w:tabs>
          <w:tab w:pos="3600" w:val="num"/>
        </w:tabs>
        <w:ind w:hanging="360" w:left="3600"/>
      </w:pPr>
      <w:rPr>
        <w:sz w:val="20"/>
      </w:rPr>
    </w:lvl>
    <w:lvl w:ilvl="5" w:tplc="A704F1DE">
      <w:start w:val="1"/>
      <w:numFmt w:val="bullet"/>
      <w:lvlText w:val="–"/>
      <w:lvlJc w:val="left"/>
      <w:pPr>
        <w:tabs>
          <w:tab w:pos="4320" w:val="num"/>
        </w:tabs>
        <w:ind w:hanging="360" w:left="4320"/>
      </w:pPr>
      <w:rPr>
        <w:sz w:val="20"/>
      </w:rPr>
    </w:lvl>
    <w:lvl w:ilvl="6" w:tplc="57FCE3D8">
      <w:start w:val="1"/>
      <w:numFmt w:val="bullet"/>
      <w:lvlText w:val="–"/>
      <w:lvlJc w:val="left"/>
      <w:pPr>
        <w:tabs>
          <w:tab w:pos="5040" w:val="num"/>
        </w:tabs>
        <w:ind w:hanging="360" w:left="5040"/>
      </w:pPr>
      <w:rPr>
        <w:sz w:val="20"/>
      </w:rPr>
    </w:lvl>
    <w:lvl w:ilvl="7" w:tplc="870E8D9E">
      <w:start w:val="1"/>
      <w:numFmt w:val="bullet"/>
      <w:lvlText w:val="–"/>
      <w:lvlJc w:val="left"/>
      <w:pPr>
        <w:tabs>
          <w:tab w:pos="5760" w:val="num"/>
        </w:tabs>
        <w:ind w:hanging="360" w:left="5760"/>
      </w:pPr>
      <w:rPr>
        <w:sz w:val="20"/>
      </w:rPr>
    </w:lvl>
    <w:lvl w:ilvl="8" w:tplc="7C4E50D4">
      <w:start w:val="1"/>
      <w:numFmt w:val="bullet"/>
      <w:lvlText w:val="–"/>
      <w:lvlJc w:val="left"/>
      <w:pPr>
        <w:tabs>
          <w:tab w:pos="6480" w:val="num"/>
        </w:tabs>
        <w:ind w:hanging="360" w:left="6480"/>
      </w:pPr>
      <w:rPr>
        <w:sz w:val="20"/>
      </w:rPr>
    </w:lvl>
  </w:abstractNum>
  <w:abstractNum w15:restartNumberingAfterBreak="0" w:abstractNumId="6">
    <w:nsid w:val="1C1919A0"/>
    <w:multiLevelType w:val="hybridMultilevel"/>
    <w:tmpl w:val="7C5684FC"/>
    <w:lvl w:ilvl="0" w:tplc="22C2DEAC">
      <w:start w:val="1"/>
      <w:numFmt w:val="decimal"/>
      <w:lvlText w:val="%1."/>
      <w:lvlJc w:val="left"/>
      <w:pPr>
        <w:ind w:hanging="360" w:left="720"/>
      </w:pPr>
    </w:lvl>
    <w:lvl w:ilvl="1" w:tplc="1B04B564">
      <w:start w:val="1"/>
      <w:numFmt w:val="lowerLetter"/>
      <w:lvlText w:val="%2."/>
      <w:lvlJc w:val="left"/>
      <w:pPr>
        <w:ind w:hanging="360" w:left="1440"/>
      </w:pPr>
    </w:lvl>
    <w:lvl w:ilvl="2" w:tplc="53CE7DF2">
      <w:start w:val="1"/>
      <w:numFmt w:val="lowerRoman"/>
      <w:lvlText w:val="%3."/>
      <w:lvlJc w:val="right"/>
      <w:pPr>
        <w:ind w:hanging="180" w:left="2160"/>
      </w:pPr>
    </w:lvl>
    <w:lvl w:ilvl="3" w:tplc="4C7A4514">
      <w:start w:val="1"/>
      <w:numFmt w:val="decimal"/>
      <w:lvlText w:val="%4."/>
      <w:lvlJc w:val="left"/>
      <w:pPr>
        <w:ind w:hanging="360" w:left="2880"/>
      </w:pPr>
    </w:lvl>
    <w:lvl w:ilvl="4" w:tplc="5EB845AE">
      <w:start w:val="1"/>
      <w:numFmt w:val="lowerLetter"/>
      <w:lvlText w:val="%5."/>
      <w:lvlJc w:val="left"/>
      <w:pPr>
        <w:ind w:hanging="360" w:left="3600"/>
      </w:pPr>
    </w:lvl>
    <w:lvl w:ilvl="5" w:tplc="75E08174">
      <w:start w:val="1"/>
      <w:numFmt w:val="lowerRoman"/>
      <w:lvlText w:val="%6."/>
      <w:lvlJc w:val="right"/>
      <w:pPr>
        <w:ind w:hanging="180" w:left="4320"/>
      </w:pPr>
    </w:lvl>
    <w:lvl w:ilvl="6" w:tplc="E03A9598">
      <w:start w:val="1"/>
      <w:numFmt w:val="decimal"/>
      <w:lvlText w:val="%7."/>
      <w:lvlJc w:val="left"/>
      <w:pPr>
        <w:ind w:hanging="360" w:left="5040"/>
      </w:pPr>
    </w:lvl>
    <w:lvl w:ilvl="7" w:tplc="79E6037A">
      <w:start w:val="1"/>
      <w:numFmt w:val="lowerLetter"/>
      <w:lvlText w:val="%8."/>
      <w:lvlJc w:val="left"/>
      <w:pPr>
        <w:ind w:hanging="360" w:left="5760"/>
      </w:pPr>
    </w:lvl>
    <w:lvl w:ilvl="8" w:tplc="9A9E0460">
      <w:start w:val="1"/>
      <w:numFmt w:val="lowerRoman"/>
      <w:lvlText w:val="%9."/>
      <w:lvlJc w:val="right"/>
      <w:pPr>
        <w:ind w:hanging="180" w:left="6480"/>
      </w:pPr>
    </w:lvl>
  </w:abstractNum>
  <w:abstractNum w15:restartNumberingAfterBreak="0" w:abstractNumId="7">
    <w:nsid w:val="1E8345F6"/>
    <w:multiLevelType w:val="hybridMultilevel"/>
    <w:tmpl w:val="5B4281FC"/>
    <w:lvl w:ilvl="0" w:tplc="7C1E0900">
      <w:start w:val="1"/>
      <w:numFmt w:val="bullet"/>
      <w:lvlText w:val="–"/>
      <w:lvlJc w:val="left"/>
      <w:pPr>
        <w:tabs>
          <w:tab w:pos="720" w:val="num"/>
        </w:tabs>
        <w:ind w:hanging="360" w:left="720"/>
      </w:pPr>
      <w:rPr>
        <w:sz w:val="20"/>
      </w:rPr>
    </w:lvl>
    <w:lvl w:ilvl="1" w:tplc="39249850">
      <w:start w:val="1"/>
      <w:numFmt w:val="bullet"/>
      <w:lvlText w:val="–"/>
      <w:lvlJc w:val="left"/>
      <w:pPr>
        <w:tabs>
          <w:tab w:pos="1440" w:val="num"/>
        </w:tabs>
        <w:ind w:hanging="360" w:left="1440"/>
      </w:pPr>
      <w:rPr>
        <w:sz w:val="20"/>
      </w:rPr>
    </w:lvl>
    <w:lvl w:ilvl="2" w:tplc="D9E81CA0">
      <w:start w:val="1"/>
      <w:numFmt w:val="bullet"/>
      <w:lvlText w:val="–"/>
      <w:lvlJc w:val="left"/>
      <w:pPr>
        <w:tabs>
          <w:tab w:pos="2160" w:val="num"/>
        </w:tabs>
        <w:ind w:hanging="360" w:left="2160"/>
      </w:pPr>
      <w:rPr>
        <w:sz w:val="20"/>
      </w:rPr>
    </w:lvl>
    <w:lvl w:ilvl="3" w:tplc="83DCEFA8">
      <w:start w:val="1"/>
      <w:numFmt w:val="bullet"/>
      <w:lvlText w:val="–"/>
      <w:lvlJc w:val="left"/>
      <w:pPr>
        <w:tabs>
          <w:tab w:pos="2880" w:val="num"/>
        </w:tabs>
        <w:ind w:hanging="360" w:left="2880"/>
      </w:pPr>
      <w:rPr>
        <w:sz w:val="20"/>
      </w:rPr>
    </w:lvl>
    <w:lvl w:ilvl="4" w:tplc="CA26B56E">
      <w:start w:val="1"/>
      <w:numFmt w:val="bullet"/>
      <w:lvlText w:val="–"/>
      <w:lvlJc w:val="left"/>
      <w:pPr>
        <w:tabs>
          <w:tab w:pos="3600" w:val="num"/>
        </w:tabs>
        <w:ind w:hanging="360" w:left="3600"/>
      </w:pPr>
      <w:rPr>
        <w:sz w:val="20"/>
      </w:rPr>
    </w:lvl>
    <w:lvl w:ilvl="5" w:tplc="E522FFCE">
      <w:start w:val="1"/>
      <w:numFmt w:val="bullet"/>
      <w:lvlText w:val="–"/>
      <w:lvlJc w:val="left"/>
      <w:pPr>
        <w:tabs>
          <w:tab w:pos="4320" w:val="num"/>
        </w:tabs>
        <w:ind w:hanging="360" w:left="4320"/>
      </w:pPr>
      <w:rPr>
        <w:sz w:val="20"/>
      </w:rPr>
    </w:lvl>
    <w:lvl w:ilvl="6" w:tplc="3222B102">
      <w:start w:val="1"/>
      <w:numFmt w:val="bullet"/>
      <w:lvlText w:val="–"/>
      <w:lvlJc w:val="left"/>
      <w:pPr>
        <w:tabs>
          <w:tab w:pos="5040" w:val="num"/>
        </w:tabs>
        <w:ind w:hanging="360" w:left="5040"/>
      </w:pPr>
      <w:rPr>
        <w:sz w:val="20"/>
      </w:rPr>
    </w:lvl>
    <w:lvl w:ilvl="7" w:tplc="0D0E5550">
      <w:start w:val="1"/>
      <w:numFmt w:val="bullet"/>
      <w:lvlText w:val="–"/>
      <w:lvlJc w:val="left"/>
      <w:pPr>
        <w:tabs>
          <w:tab w:pos="5760" w:val="num"/>
        </w:tabs>
        <w:ind w:hanging="360" w:left="5760"/>
      </w:pPr>
      <w:rPr>
        <w:sz w:val="20"/>
      </w:rPr>
    </w:lvl>
    <w:lvl w:ilvl="8" w:tplc="6AAA630C">
      <w:start w:val="1"/>
      <w:numFmt w:val="bullet"/>
      <w:lvlText w:val="–"/>
      <w:lvlJc w:val="left"/>
      <w:pPr>
        <w:tabs>
          <w:tab w:pos="6480" w:val="num"/>
        </w:tabs>
        <w:ind w:hanging="360" w:left="6480"/>
      </w:pPr>
      <w:rPr>
        <w:sz w:val="20"/>
      </w:rPr>
    </w:lvl>
  </w:abstractNum>
  <w:abstractNum w15:restartNumberingAfterBreak="0" w:abstractNumId="8">
    <w:nsid w:val="1FCC7FD1"/>
    <w:multiLevelType w:val="hybridMultilevel"/>
    <w:tmpl w:val="AE7E86CE"/>
    <w:lvl w:ilvl="0" w:tplc="7C1E0900">
      <w:start w:val="1"/>
      <w:numFmt w:val="bullet"/>
      <w:lvlText w:val="–"/>
      <w:lvlJc w:val="left"/>
      <w:pPr>
        <w:ind w:hanging="360" w:left="1429"/>
      </w:pPr>
      <w:rPr/>
    </w:lvl>
    <w:lvl w:ilvl="1" w:tplc="5E0C8728">
      <w:start w:val="1"/>
      <w:numFmt w:val="bullet"/>
      <w:lvlText w:val="–"/>
      <w:lvlJc w:val="left"/>
      <w:pPr>
        <w:ind w:hanging="360" w:left="2149"/>
      </w:pPr>
      <w:rPr/>
    </w:lvl>
    <w:lvl w:ilvl="2" w:tplc="7EBA210A">
      <w:start w:val="1"/>
      <w:numFmt w:val="bullet"/>
      <w:lvlText w:val="–"/>
      <w:lvlJc w:val="left"/>
      <w:pPr>
        <w:ind w:hanging="360" w:left="2869"/>
      </w:pPr>
      <w:rPr/>
    </w:lvl>
    <w:lvl w:ilvl="3" w:tplc="02749BAA">
      <w:start w:val="1"/>
      <w:numFmt w:val="bullet"/>
      <w:lvlText w:val="–"/>
      <w:lvlJc w:val="left"/>
      <w:pPr>
        <w:ind w:hanging="360" w:left="3589"/>
      </w:pPr>
      <w:rPr/>
    </w:lvl>
    <w:lvl w:ilvl="4" w:tplc="3AB2109A">
      <w:start w:val="1"/>
      <w:numFmt w:val="bullet"/>
      <w:lvlText w:val="–"/>
      <w:lvlJc w:val="left"/>
      <w:pPr>
        <w:ind w:hanging="360" w:left="4309"/>
      </w:pPr>
      <w:rPr/>
    </w:lvl>
    <w:lvl w:ilvl="5" w:tplc="2DDCD92A">
      <w:start w:val="1"/>
      <w:numFmt w:val="bullet"/>
      <w:lvlText w:val="–"/>
      <w:lvlJc w:val="left"/>
      <w:pPr>
        <w:ind w:hanging="360" w:left="5029"/>
      </w:pPr>
      <w:rPr/>
    </w:lvl>
    <w:lvl w:ilvl="6" w:tplc="C10EDD2C">
      <w:start w:val="1"/>
      <w:numFmt w:val="bullet"/>
      <w:lvlText w:val="–"/>
      <w:lvlJc w:val="left"/>
      <w:pPr>
        <w:ind w:hanging="360" w:left="5749"/>
      </w:pPr>
      <w:rPr/>
    </w:lvl>
    <w:lvl w:ilvl="7" w:tplc="95EC216A">
      <w:start w:val="1"/>
      <w:numFmt w:val="bullet"/>
      <w:lvlText w:val="–"/>
      <w:lvlJc w:val="left"/>
      <w:pPr>
        <w:ind w:hanging="360" w:left="6469"/>
      </w:pPr>
      <w:rPr/>
    </w:lvl>
    <w:lvl w:ilvl="8" w:tplc="29B4502A">
      <w:start w:val="1"/>
      <w:numFmt w:val="bullet"/>
      <w:lvlText w:val="–"/>
      <w:lvlJc w:val="left"/>
      <w:pPr>
        <w:ind w:hanging="360" w:left="7189"/>
      </w:pPr>
      <w:rPr/>
    </w:lvl>
  </w:abstractNum>
  <w:abstractNum w15:restartNumberingAfterBreak="0" w:abstractNumId="9">
    <w:nsid w:val="2060483C"/>
    <w:multiLevelType w:val="hybridMultilevel"/>
    <w:tmpl w:val="CF6ABD78"/>
    <w:lvl w:ilvl="0" w:tplc="7C1E0900">
      <w:start w:val="1"/>
      <w:numFmt w:val="bullet"/>
      <w:lvlText w:val="–"/>
      <w:lvlJc w:val="left"/>
      <w:pPr>
        <w:ind w:hanging="360" w:left="1429"/>
      </w:pPr>
      <w:rPr/>
    </w:lvl>
    <w:lvl w:ilvl="1" w:tplc="BE4AD456">
      <w:start w:val="1"/>
      <w:numFmt w:val="bullet"/>
      <w:lvlText w:val="–"/>
      <w:lvlJc w:val="left"/>
      <w:pPr>
        <w:ind w:hanging="360" w:left="2149"/>
      </w:pPr>
      <w:rPr/>
    </w:lvl>
    <w:lvl w:ilvl="2" w:tplc="5F0A8208">
      <w:start w:val="1"/>
      <w:numFmt w:val="bullet"/>
      <w:lvlText w:val="–"/>
      <w:lvlJc w:val="left"/>
      <w:pPr>
        <w:ind w:hanging="360" w:left="2869"/>
      </w:pPr>
      <w:rPr/>
    </w:lvl>
    <w:lvl w:ilvl="3" w:tplc="0838C93E">
      <w:start w:val="1"/>
      <w:numFmt w:val="bullet"/>
      <w:lvlText w:val="–"/>
      <w:lvlJc w:val="left"/>
      <w:pPr>
        <w:ind w:hanging="360" w:left="3589"/>
      </w:pPr>
      <w:rPr/>
    </w:lvl>
    <w:lvl w:ilvl="4" w:tplc="0BF28BF0">
      <w:start w:val="1"/>
      <w:numFmt w:val="bullet"/>
      <w:lvlText w:val="–"/>
      <w:lvlJc w:val="left"/>
      <w:pPr>
        <w:ind w:hanging="360" w:left="4309"/>
      </w:pPr>
      <w:rPr/>
    </w:lvl>
    <w:lvl w:ilvl="5" w:tplc="F14EC5E0">
      <w:start w:val="1"/>
      <w:numFmt w:val="bullet"/>
      <w:lvlText w:val="–"/>
      <w:lvlJc w:val="left"/>
      <w:pPr>
        <w:ind w:hanging="360" w:left="5029"/>
      </w:pPr>
      <w:rPr/>
    </w:lvl>
    <w:lvl w:ilvl="6" w:tplc="970E5A5E">
      <w:start w:val="1"/>
      <w:numFmt w:val="bullet"/>
      <w:lvlText w:val="–"/>
      <w:lvlJc w:val="left"/>
      <w:pPr>
        <w:ind w:hanging="360" w:left="5749"/>
      </w:pPr>
      <w:rPr/>
    </w:lvl>
    <w:lvl w:ilvl="7" w:tplc="627A537E">
      <w:start w:val="1"/>
      <w:numFmt w:val="bullet"/>
      <w:lvlText w:val="–"/>
      <w:lvlJc w:val="left"/>
      <w:pPr>
        <w:ind w:hanging="360" w:left="6469"/>
      </w:pPr>
      <w:rPr/>
    </w:lvl>
    <w:lvl w:ilvl="8" w:tplc="9E0016A4">
      <w:start w:val="1"/>
      <w:numFmt w:val="bullet"/>
      <w:lvlText w:val="–"/>
      <w:lvlJc w:val="left"/>
      <w:pPr>
        <w:ind w:hanging="360" w:left="7189"/>
      </w:pPr>
      <w:rPr/>
    </w:lvl>
  </w:abstractNum>
  <w:abstractNum w15:restartNumberingAfterBreak="0" w:abstractNumId="10">
    <w:nsid w:val="20A809E0"/>
    <w:multiLevelType w:val="hybridMultilevel"/>
    <w:tmpl w:val="1FC07ADE"/>
    <w:lvl w:ilvl="0" w:tplc="7C1E0900">
      <w:start w:val="1"/>
      <w:numFmt w:val="bullet"/>
      <w:lvlText w:val="–"/>
      <w:lvlJc w:val="left"/>
      <w:pPr>
        <w:tabs>
          <w:tab w:pos="720" w:val="num"/>
        </w:tabs>
        <w:ind w:hanging="360" w:left="720"/>
      </w:pPr>
      <w:rPr>
        <w:b w:val="0"/>
        <w:bCs/>
        <w:sz w:val="28"/>
        <w:szCs w:val="28"/>
      </w:rPr>
    </w:lvl>
    <w:lvl w:ilvl="1" w:tplc="A3F0D932">
      <w:start w:val="1"/>
      <w:numFmt w:val="bullet"/>
      <w:lvlText w:val="–"/>
      <w:lvlJc w:val="left"/>
      <w:pPr>
        <w:tabs>
          <w:tab w:pos="1440" w:val="num"/>
        </w:tabs>
        <w:ind w:hanging="360" w:left="1440"/>
      </w:pPr>
      <w:rPr/>
    </w:lvl>
    <w:lvl w:ilvl="2" w:tplc="F6C8E18C">
      <w:start w:val="1"/>
      <w:numFmt w:val="decimal"/>
      <w:lvlText w:val="%3."/>
      <w:lvlJc w:val="left"/>
      <w:pPr>
        <w:tabs>
          <w:tab w:pos="2160" w:val="num"/>
        </w:tabs>
        <w:ind w:hanging="360" w:left="2160"/>
      </w:pPr>
      <w:rPr>
        <w:rFonts w:ascii="Times New Roman" w:cs="Times New Roman" w:hAnsi="Times New Roman"/>
      </w:rPr>
    </w:lvl>
    <w:lvl w:ilvl="3" w:tplc="40AA3E88">
      <w:start w:val="1"/>
      <w:numFmt w:val="decimal"/>
      <w:lvlText w:val="%4."/>
      <w:lvlJc w:val="left"/>
      <w:pPr>
        <w:tabs>
          <w:tab w:pos="2880" w:val="num"/>
        </w:tabs>
        <w:ind w:hanging="360" w:left="2880"/>
      </w:pPr>
      <w:rPr>
        <w:rFonts w:ascii="Times New Roman" w:cs="Times New Roman" w:hAnsi="Times New Roman"/>
      </w:rPr>
    </w:lvl>
    <w:lvl w:ilvl="4" w:tplc="409034B8">
      <w:start w:val="1"/>
      <w:numFmt w:val="decimal"/>
      <w:lvlText w:val="%5."/>
      <w:lvlJc w:val="left"/>
      <w:pPr>
        <w:tabs>
          <w:tab w:pos="3600" w:val="num"/>
        </w:tabs>
        <w:ind w:hanging="360" w:left="3600"/>
      </w:pPr>
      <w:rPr>
        <w:rFonts w:ascii="Times New Roman" w:cs="Times New Roman" w:hAnsi="Times New Roman"/>
      </w:rPr>
    </w:lvl>
    <w:lvl w:ilvl="5" w:tplc="BFC0B900">
      <w:start w:val="1"/>
      <w:numFmt w:val="decimal"/>
      <w:lvlText w:val="%6."/>
      <w:lvlJc w:val="left"/>
      <w:pPr>
        <w:tabs>
          <w:tab w:pos="4320" w:val="num"/>
        </w:tabs>
        <w:ind w:hanging="360" w:left="4320"/>
      </w:pPr>
      <w:rPr>
        <w:rFonts w:ascii="Times New Roman" w:cs="Times New Roman" w:hAnsi="Times New Roman"/>
      </w:rPr>
    </w:lvl>
    <w:lvl w:ilvl="6" w:tplc="B6FA4932">
      <w:start w:val="1"/>
      <w:numFmt w:val="decimal"/>
      <w:lvlText w:val="%7."/>
      <w:lvlJc w:val="left"/>
      <w:pPr>
        <w:tabs>
          <w:tab w:pos="5040" w:val="num"/>
        </w:tabs>
        <w:ind w:hanging="360" w:left="5040"/>
      </w:pPr>
      <w:rPr>
        <w:rFonts w:ascii="Times New Roman" w:cs="Times New Roman" w:hAnsi="Times New Roman"/>
      </w:rPr>
    </w:lvl>
    <w:lvl w:ilvl="7" w:tplc="61FA44CE">
      <w:start w:val="1"/>
      <w:numFmt w:val="decimal"/>
      <w:lvlText w:val="%8."/>
      <w:lvlJc w:val="left"/>
      <w:pPr>
        <w:tabs>
          <w:tab w:pos="5760" w:val="num"/>
        </w:tabs>
        <w:ind w:hanging="360" w:left="5760"/>
      </w:pPr>
      <w:rPr>
        <w:rFonts w:ascii="Times New Roman" w:cs="Times New Roman" w:hAnsi="Times New Roman"/>
      </w:rPr>
    </w:lvl>
    <w:lvl w:ilvl="8" w:tplc="04EACF10">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11">
    <w:nsid w:val="29085BC6"/>
    <w:multiLevelType w:val="hybridMultilevel"/>
    <w:tmpl w:val="EFB8F532"/>
    <w:lvl w:ilvl="0" w:tplc="359627C2">
      <w:start w:val="1"/>
      <w:numFmt w:val="bullet"/>
      <w:lvlText w:val="–"/>
      <w:lvlJc w:val="left"/>
      <w:pPr>
        <w:ind w:hanging="360" w:left="1789"/>
      </w:pPr>
      <w:rPr/>
    </w:lvl>
    <w:lvl w:ilvl="1" w:tplc="80BE67FC">
      <w:start w:val="1"/>
      <w:numFmt w:val="bullet"/>
      <w:lvlText w:val="–"/>
      <w:lvlJc w:val="left"/>
      <w:pPr>
        <w:ind w:hanging="360" w:left="2509"/>
      </w:pPr>
      <w:rPr/>
    </w:lvl>
    <w:lvl w:ilvl="2" w:tplc="83D85AEA">
      <w:start w:val="1"/>
      <w:numFmt w:val="bullet"/>
      <w:lvlText w:val="–"/>
      <w:lvlJc w:val="left"/>
      <w:pPr>
        <w:ind w:hanging="360" w:left="3229"/>
      </w:pPr>
      <w:rPr/>
    </w:lvl>
    <w:lvl w:ilvl="3" w:tplc="34727BF4">
      <w:start w:val="1"/>
      <w:numFmt w:val="bullet"/>
      <w:lvlText w:val="–"/>
      <w:lvlJc w:val="left"/>
      <w:pPr>
        <w:ind w:hanging="360" w:left="3949"/>
      </w:pPr>
      <w:rPr/>
    </w:lvl>
    <w:lvl w:ilvl="4" w:tplc="B5B68CAA">
      <w:start w:val="1"/>
      <w:numFmt w:val="bullet"/>
      <w:lvlText w:val="–"/>
      <w:lvlJc w:val="left"/>
      <w:pPr>
        <w:ind w:hanging="360" w:left="4669"/>
      </w:pPr>
      <w:rPr/>
    </w:lvl>
    <w:lvl w:ilvl="5" w:tplc="D8A6DA46">
      <w:start w:val="1"/>
      <w:numFmt w:val="bullet"/>
      <w:lvlText w:val="–"/>
      <w:lvlJc w:val="left"/>
      <w:pPr>
        <w:ind w:hanging="360" w:left="5389"/>
      </w:pPr>
      <w:rPr/>
    </w:lvl>
    <w:lvl w:ilvl="6" w:tplc="568C8FF8">
      <w:start w:val="1"/>
      <w:numFmt w:val="bullet"/>
      <w:lvlText w:val="–"/>
      <w:lvlJc w:val="left"/>
      <w:pPr>
        <w:ind w:hanging="360" w:left="6109"/>
      </w:pPr>
      <w:rPr/>
    </w:lvl>
    <w:lvl w:ilvl="7" w:tplc="82F09DA6">
      <w:start w:val="1"/>
      <w:numFmt w:val="bullet"/>
      <w:lvlText w:val="–"/>
      <w:lvlJc w:val="left"/>
      <w:pPr>
        <w:ind w:hanging="360" w:left="6829"/>
      </w:pPr>
      <w:rPr/>
    </w:lvl>
    <w:lvl w:ilvl="8" w:tplc="68DE7B20">
      <w:start w:val="1"/>
      <w:numFmt w:val="bullet"/>
      <w:lvlText w:val="–"/>
      <w:lvlJc w:val="left"/>
      <w:pPr>
        <w:ind w:hanging="360" w:left="7549"/>
      </w:pPr>
      <w:rPr/>
    </w:lvl>
  </w:abstractNum>
  <w:abstractNum w15:restartNumberingAfterBreak="0" w:abstractNumId="12">
    <w:nsid w:val="2BF17C52"/>
    <w:multiLevelType w:val="hybridMultilevel"/>
    <w:tmpl w:val="30FA6790"/>
    <w:lvl w:ilvl="0" w:tplc="7C1E0900">
      <w:start w:val="1"/>
      <w:numFmt w:val="bullet"/>
      <w:lvlText w:val="–"/>
      <w:lvlJc w:val="left"/>
      <w:pPr>
        <w:ind w:hanging="360" w:left="1429"/>
      </w:pPr>
      <w:rPr/>
    </w:lvl>
    <w:lvl w:ilvl="1" w:tplc="FB00E1F0">
      <w:start w:val="1"/>
      <w:numFmt w:val="bullet"/>
      <w:lvlText w:val="–"/>
      <w:lvlJc w:val="left"/>
      <w:pPr>
        <w:ind w:hanging="360" w:left="2149"/>
      </w:pPr>
      <w:rPr/>
    </w:lvl>
    <w:lvl w:ilvl="2" w:tplc="5AC46FE4">
      <w:start w:val="1"/>
      <w:numFmt w:val="bullet"/>
      <w:lvlText w:val="–"/>
      <w:lvlJc w:val="left"/>
      <w:pPr>
        <w:ind w:hanging="360" w:left="2869"/>
      </w:pPr>
      <w:rPr/>
    </w:lvl>
    <w:lvl w:ilvl="3" w:tplc="DDC6A7C0">
      <w:start w:val="1"/>
      <w:numFmt w:val="bullet"/>
      <w:lvlText w:val="–"/>
      <w:lvlJc w:val="left"/>
      <w:pPr>
        <w:ind w:hanging="360" w:left="3589"/>
      </w:pPr>
      <w:rPr/>
    </w:lvl>
    <w:lvl w:ilvl="4" w:tplc="1A06B356">
      <w:start w:val="1"/>
      <w:numFmt w:val="bullet"/>
      <w:lvlText w:val="–"/>
      <w:lvlJc w:val="left"/>
      <w:pPr>
        <w:ind w:hanging="360" w:left="4309"/>
      </w:pPr>
      <w:rPr/>
    </w:lvl>
    <w:lvl w:ilvl="5" w:tplc="65DE7A9E">
      <w:start w:val="1"/>
      <w:numFmt w:val="bullet"/>
      <w:lvlText w:val="–"/>
      <w:lvlJc w:val="left"/>
      <w:pPr>
        <w:ind w:hanging="360" w:left="5029"/>
      </w:pPr>
      <w:rPr/>
    </w:lvl>
    <w:lvl w:ilvl="6" w:tplc="6BB0A2C4">
      <w:start w:val="1"/>
      <w:numFmt w:val="bullet"/>
      <w:lvlText w:val="–"/>
      <w:lvlJc w:val="left"/>
      <w:pPr>
        <w:ind w:hanging="360" w:left="5749"/>
      </w:pPr>
      <w:rPr/>
    </w:lvl>
    <w:lvl w:ilvl="7" w:tplc="D5628EE2">
      <w:start w:val="1"/>
      <w:numFmt w:val="bullet"/>
      <w:lvlText w:val="–"/>
      <w:lvlJc w:val="left"/>
      <w:pPr>
        <w:ind w:hanging="360" w:left="6469"/>
      </w:pPr>
      <w:rPr/>
    </w:lvl>
    <w:lvl w:ilvl="8" w:tplc="0138358E">
      <w:start w:val="1"/>
      <w:numFmt w:val="bullet"/>
      <w:lvlText w:val="–"/>
      <w:lvlJc w:val="left"/>
      <w:pPr>
        <w:ind w:hanging="360" w:left="7189"/>
      </w:pPr>
      <w:rPr/>
    </w:lvl>
  </w:abstractNum>
  <w:abstractNum w15:restartNumberingAfterBreak="0" w:abstractNumId="13">
    <w:nsid w:val="30671241"/>
    <w:multiLevelType w:val="hybridMultilevel"/>
    <w:tmpl w:val="ED00CC84"/>
    <w:lvl w:ilvl="0" w:tplc="7C1E0900">
      <w:start w:val="1"/>
      <w:numFmt w:val="bullet"/>
      <w:lvlText w:val="–"/>
      <w:lvlJc w:val="left"/>
      <w:pPr>
        <w:tabs>
          <w:tab w:pos="720" w:val="num"/>
        </w:tabs>
        <w:ind w:hanging="360" w:left="720"/>
      </w:pPr>
      <w:rPr>
        <w:b w:val="0"/>
        <w:bCs/>
        <w:sz w:val="28"/>
        <w:szCs w:val="28"/>
      </w:rPr>
    </w:lvl>
    <w:lvl w:ilvl="1" w:tplc="AAA28E62">
      <w:start w:val="1"/>
      <w:numFmt w:val="decimal"/>
      <w:lvlText w:val="%2."/>
      <w:lvlJc w:val="left"/>
      <w:pPr>
        <w:tabs>
          <w:tab w:pos="1440" w:val="num"/>
        </w:tabs>
        <w:ind w:hanging="360" w:left="1440"/>
      </w:pPr>
      <w:rPr>
        <w:rFonts w:ascii="Times New Roman" w:cs="Times New Roman" w:hAnsi="Times New Roman"/>
      </w:rPr>
    </w:lvl>
    <w:lvl w:ilvl="2" w:tplc="CBAAB192">
      <w:start w:val="1"/>
      <w:numFmt w:val="decimal"/>
      <w:lvlText w:val="%3."/>
      <w:lvlJc w:val="left"/>
      <w:pPr>
        <w:tabs>
          <w:tab w:pos="2160" w:val="num"/>
        </w:tabs>
        <w:ind w:hanging="360" w:left="2160"/>
      </w:pPr>
      <w:rPr>
        <w:rFonts w:ascii="Times New Roman" w:cs="Times New Roman" w:hAnsi="Times New Roman"/>
      </w:rPr>
    </w:lvl>
    <w:lvl w:ilvl="3" w:tplc="D1761572">
      <w:start w:val="1"/>
      <w:numFmt w:val="decimal"/>
      <w:lvlText w:val="%4."/>
      <w:lvlJc w:val="left"/>
      <w:pPr>
        <w:tabs>
          <w:tab w:pos="2880" w:val="num"/>
        </w:tabs>
        <w:ind w:hanging="360" w:left="2880"/>
      </w:pPr>
      <w:rPr>
        <w:rFonts w:ascii="Times New Roman" w:cs="Times New Roman" w:hAnsi="Times New Roman"/>
      </w:rPr>
    </w:lvl>
    <w:lvl w:ilvl="4" w:tplc="2F10D0FE">
      <w:start w:val="1"/>
      <w:numFmt w:val="decimal"/>
      <w:lvlText w:val="%5."/>
      <w:lvlJc w:val="left"/>
      <w:pPr>
        <w:tabs>
          <w:tab w:pos="3600" w:val="num"/>
        </w:tabs>
        <w:ind w:hanging="360" w:left="3600"/>
      </w:pPr>
      <w:rPr>
        <w:rFonts w:ascii="Times New Roman" w:cs="Times New Roman" w:hAnsi="Times New Roman"/>
      </w:rPr>
    </w:lvl>
    <w:lvl w:ilvl="5" w:tplc="31E8DB7E">
      <w:start w:val="1"/>
      <w:numFmt w:val="decimal"/>
      <w:lvlText w:val="%6."/>
      <w:lvlJc w:val="left"/>
      <w:pPr>
        <w:tabs>
          <w:tab w:pos="4320" w:val="num"/>
        </w:tabs>
        <w:ind w:hanging="360" w:left="4320"/>
      </w:pPr>
      <w:rPr>
        <w:rFonts w:ascii="Times New Roman" w:cs="Times New Roman" w:hAnsi="Times New Roman"/>
      </w:rPr>
    </w:lvl>
    <w:lvl w:ilvl="6" w:tplc="1BD05894">
      <w:start w:val="1"/>
      <w:numFmt w:val="decimal"/>
      <w:lvlText w:val="%7."/>
      <w:lvlJc w:val="left"/>
      <w:pPr>
        <w:tabs>
          <w:tab w:pos="5040" w:val="num"/>
        </w:tabs>
        <w:ind w:hanging="360" w:left="5040"/>
      </w:pPr>
      <w:rPr>
        <w:rFonts w:ascii="Times New Roman" w:cs="Times New Roman" w:hAnsi="Times New Roman"/>
      </w:rPr>
    </w:lvl>
    <w:lvl w:ilvl="7" w:tplc="A04C039E">
      <w:start w:val="1"/>
      <w:numFmt w:val="decimal"/>
      <w:lvlText w:val="%8."/>
      <w:lvlJc w:val="left"/>
      <w:pPr>
        <w:tabs>
          <w:tab w:pos="5760" w:val="num"/>
        </w:tabs>
        <w:ind w:hanging="360" w:left="5760"/>
      </w:pPr>
      <w:rPr>
        <w:rFonts w:ascii="Times New Roman" w:cs="Times New Roman" w:hAnsi="Times New Roman"/>
      </w:rPr>
    </w:lvl>
    <w:lvl w:ilvl="8" w:tplc="272C1B02">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14">
    <w:nsid w:val="321C20FA"/>
    <w:multiLevelType w:val="hybridMultilevel"/>
    <w:tmpl w:val="96A831F4"/>
    <w:lvl w:ilvl="0" w:tplc="D59421B6">
      <w:start w:val="1"/>
      <w:numFmt w:val="lowerLetter"/>
      <w:lvlText w:val="%1."/>
      <w:lvlJc w:val="left"/>
      <w:pPr>
        <w:ind w:hanging="360" w:left="1429"/>
      </w:pPr>
    </w:lvl>
    <w:lvl w:ilvl="1" w:tplc="ADE6CF82">
      <w:start w:val="1"/>
      <w:numFmt w:val="lowerLetter"/>
      <w:lvlText w:val="%2."/>
      <w:lvlJc w:val="left"/>
      <w:pPr>
        <w:ind w:hanging="360" w:left="2149"/>
      </w:pPr>
    </w:lvl>
    <w:lvl w:ilvl="2" w:tplc="4AF04A9C">
      <w:start w:val="1"/>
      <w:numFmt w:val="lowerRoman"/>
      <w:lvlText w:val="%3."/>
      <w:lvlJc w:val="right"/>
      <w:pPr>
        <w:ind w:hanging="180" w:left="2869"/>
      </w:pPr>
    </w:lvl>
    <w:lvl w:ilvl="3" w:tplc="A36AB30A">
      <w:start w:val="1"/>
      <w:numFmt w:val="decimal"/>
      <w:lvlText w:val="%4."/>
      <w:lvlJc w:val="left"/>
      <w:pPr>
        <w:ind w:hanging="360" w:left="3589"/>
      </w:pPr>
    </w:lvl>
    <w:lvl w:ilvl="4" w:tplc="1478B0E6">
      <w:start w:val="1"/>
      <w:numFmt w:val="lowerLetter"/>
      <w:lvlText w:val="%5."/>
      <w:lvlJc w:val="left"/>
      <w:pPr>
        <w:ind w:hanging="360" w:left="4309"/>
      </w:pPr>
    </w:lvl>
    <w:lvl w:ilvl="5" w:tplc="05804D54">
      <w:start w:val="1"/>
      <w:numFmt w:val="lowerRoman"/>
      <w:lvlText w:val="%6."/>
      <w:lvlJc w:val="right"/>
      <w:pPr>
        <w:ind w:hanging="180" w:left="5029"/>
      </w:pPr>
    </w:lvl>
    <w:lvl w:ilvl="6" w:tplc="0A9C65E2">
      <w:start w:val="1"/>
      <w:numFmt w:val="decimal"/>
      <w:lvlText w:val="%7."/>
      <w:lvlJc w:val="left"/>
      <w:pPr>
        <w:ind w:hanging="360" w:left="5749"/>
      </w:pPr>
    </w:lvl>
    <w:lvl w:ilvl="7" w:tplc="0C0807F2">
      <w:start w:val="1"/>
      <w:numFmt w:val="lowerLetter"/>
      <w:lvlText w:val="%8."/>
      <w:lvlJc w:val="left"/>
      <w:pPr>
        <w:ind w:hanging="360" w:left="6469"/>
      </w:pPr>
    </w:lvl>
    <w:lvl w:ilvl="8" w:tplc="33B2A224">
      <w:start w:val="1"/>
      <w:numFmt w:val="lowerRoman"/>
      <w:lvlText w:val="%9."/>
      <w:lvlJc w:val="right"/>
      <w:pPr>
        <w:ind w:hanging="180" w:left="7189"/>
      </w:pPr>
    </w:lvl>
  </w:abstractNum>
  <w:abstractNum w15:restartNumberingAfterBreak="0" w:abstractNumId="15">
    <w:nsid w:val="32FB116D"/>
    <w:multiLevelType w:val="hybridMultilevel"/>
    <w:tmpl w:val="84B819E8"/>
    <w:lvl w:ilvl="0" w:tplc="7C1E0900">
      <w:start w:val="1"/>
      <w:numFmt w:val="bullet"/>
      <w:lvlText w:val="–"/>
      <w:lvlJc w:val="left"/>
      <w:pPr>
        <w:ind w:hanging="360" w:left="1429"/>
      </w:pPr>
      <w:rPr>
        <w:color w:val="000000"/>
      </w:rPr>
    </w:lvl>
    <w:lvl w:ilvl="1" w:tplc="523C6292">
      <w:start w:val="1"/>
      <w:numFmt w:val="bullet"/>
      <w:lvlText w:val="–"/>
      <w:lvlJc w:val="left"/>
      <w:pPr>
        <w:ind w:hanging="360" w:left="2149"/>
      </w:pPr>
      <w:rPr/>
    </w:lvl>
    <w:lvl w:ilvl="2" w:tplc="E91C547A">
      <w:start w:val="1"/>
      <w:numFmt w:val="bullet"/>
      <w:lvlText w:val="–"/>
      <w:lvlJc w:val="left"/>
      <w:pPr>
        <w:ind w:hanging="360" w:left="2869"/>
      </w:pPr>
      <w:rPr/>
    </w:lvl>
    <w:lvl w:ilvl="3" w:tplc="1DB4F42E">
      <w:start w:val="1"/>
      <w:numFmt w:val="bullet"/>
      <w:lvlText w:val="–"/>
      <w:lvlJc w:val="left"/>
      <w:pPr>
        <w:ind w:hanging="360" w:left="3589"/>
      </w:pPr>
      <w:rPr/>
    </w:lvl>
    <w:lvl w:ilvl="4" w:tplc="12C6A52C">
      <w:start w:val="1"/>
      <w:numFmt w:val="bullet"/>
      <w:lvlText w:val="–"/>
      <w:lvlJc w:val="left"/>
      <w:pPr>
        <w:ind w:hanging="360" w:left="4309"/>
      </w:pPr>
      <w:rPr/>
    </w:lvl>
    <w:lvl w:ilvl="5" w:tplc="FCEA496C">
      <w:start w:val="1"/>
      <w:numFmt w:val="bullet"/>
      <w:lvlText w:val="–"/>
      <w:lvlJc w:val="left"/>
      <w:pPr>
        <w:ind w:hanging="360" w:left="5029"/>
      </w:pPr>
      <w:rPr/>
    </w:lvl>
    <w:lvl w:ilvl="6" w:tplc="014E7342">
      <w:start w:val="1"/>
      <w:numFmt w:val="bullet"/>
      <w:lvlText w:val="–"/>
      <w:lvlJc w:val="left"/>
      <w:pPr>
        <w:ind w:hanging="360" w:left="5749"/>
      </w:pPr>
      <w:rPr/>
    </w:lvl>
    <w:lvl w:ilvl="7" w:tplc="0FF0E2C0">
      <w:start w:val="1"/>
      <w:numFmt w:val="bullet"/>
      <w:lvlText w:val="–"/>
      <w:lvlJc w:val="left"/>
      <w:pPr>
        <w:ind w:hanging="360" w:left="6469"/>
      </w:pPr>
      <w:rPr/>
    </w:lvl>
    <w:lvl w:ilvl="8" w:tplc="5A54BA78">
      <w:start w:val="1"/>
      <w:numFmt w:val="bullet"/>
      <w:lvlText w:val="–"/>
      <w:lvlJc w:val="left"/>
      <w:pPr>
        <w:ind w:hanging="360" w:left="7189"/>
      </w:pPr>
      <w:rPr/>
    </w:lvl>
  </w:abstractNum>
  <w:abstractNum w15:restartNumberingAfterBreak="0" w:abstractNumId="16">
    <w:nsid w:val="35146DC4"/>
    <w:multiLevelType w:val="hybridMultilevel"/>
    <w:tmpl w:val="A0F69200"/>
    <w:lvl w:ilvl="0" w:tplc="954E5FE0">
      <w:start w:val="1"/>
      <w:numFmt w:val="decimal"/>
      <w:lvlText w:val="%1."/>
      <w:lvlJc w:val="left"/>
      <w:pPr>
        <w:ind w:hanging="360" w:left="720"/>
      </w:pPr>
      <w:rPr>
        <w:rFonts w:ascii="Times New Roman" w:cs="Times New Roman" w:eastAsia="Times New Roman" w:hAnsi="Times New Roman"/>
      </w:rPr>
    </w:lvl>
    <w:lvl w:ilvl="1" w:tplc="742AFE32">
      <w:start w:val="1"/>
      <w:numFmt w:val="lowerLetter"/>
      <w:lvlText w:val="%2."/>
      <w:lvlJc w:val="left"/>
      <w:pPr>
        <w:ind w:hanging="360" w:left="1440"/>
      </w:pPr>
    </w:lvl>
    <w:lvl w:ilvl="2" w:tplc="4CFE2BF4">
      <w:start w:val="1"/>
      <w:numFmt w:val="lowerRoman"/>
      <w:lvlText w:val="%3."/>
      <w:lvlJc w:val="right"/>
      <w:pPr>
        <w:ind w:hanging="180" w:left="2160"/>
      </w:pPr>
    </w:lvl>
    <w:lvl w:ilvl="3" w:tplc="8D8A807A">
      <w:start w:val="1"/>
      <w:numFmt w:val="decimal"/>
      <w:lvlText w:val="%4."/>
      <w:lvlJc w:val="left"/>
      <w:pPr>
        <w:ind w:hanging="360" w:left="2880"/>
      </w:pPr>
    </w:lvl>
    <w:lvl w:ilvl="4" w:tplc="3AA8AA02">
      <w:start w:val="1"/>
      <w:numFmt w:val="lowerLetter"/>
      <w:lvlText w:val="%5."/>
      <w:lvlJc w:val="left"/>
      <w:pPr>
        <w:ind w:hanging="360" w:left="3600"/>
      </w:pPr>
    </w:lvl>
    <w:lvl w:ilvl="5" w:tplc="AE44F936">
      <w:start w:val="1"/>
      <w:numFmt w:val="lowerRoman"/>
      <w:lvlText w:val="%6."/>
      <w:lvlJc w:val="right"/>
      <w:pPr>
        <w:ind w:hanging="180" w:left="4320"/>
      </w:pPr>
    </w:lvl>
    <w:lvl w:ilvl="6" w:tplc="3F7AACE2">
      <w:start w:val="1"/>
      <w:numFmt w:val="decimal"/>
      <w:lvlText w:val="%7."/>
      <w:lvlJc w:val="left"/>
      <w:pPr>
        <w:ind w:hanging="360" w:left="5040"/>
      </w:pPr>
    </w:lvl>
    <w:lvl w:ilvl="7" w:tplc="F9609C86">
      <w:start w:val="1"/>
      <w:numFmt w:val="lowerLetter"/>
      <w:lvlText w:val="%8."/>
      <w:lvlJc w:val="left"/>
      <w:pPr>
        <w:ind w:hanging="360" w:left="5760"/>
      </w:pPr>
    </w:lvl>
    <w:lvl w:ilvl="8" w:tplc="2B1E87CC">
      <w:start w:val="1"/>
      <w:numFmt w:val="lowerRoman"/>
      <w:lvlText w:val="%9."/>
      <w:lvlJc w:val="right"/>
      <w:pPr>
        <w:ind w:hanging="180" w:left="6480"/>
      </w:pPr>
    </w:lvl>
  </w:abstractNum>
  <w:abstractNum w15:restartNumberingAfterBreak="0" w:abstractNumId="17">
    <w:nsid w:val="442B5DC9"/>
    <w:multiLevelType w:val="hybridMultilevel"/>
    <w:tmpl w:val="885821C0"/>
    <w:lvl w:ilvl="0" w:tplc="0419000F">
      <w:start w:val="1"/>
      <w:numFmt w:val="decimal"/>
      <w:lvlText w:val="%1."/>
      <w:lvlJc w:val="left"/>
      <w:pPr>
        <w:ind w:hanging="360" w:left="1429"/>
      </w:pPr>
    </w:lvl>
    <w:lvl w:ilvl="1" w:tplc="5C74222E">
      <w:start w:val="1"/>
      <w:numFmt w:val="bullet"/>
      <w:lvlText w:val="–"/>
      <w:lvlJc w:val="left"/>
      <w:pPr>
        <w:ind w:hanging="360" w:left="2149"/>
      </w:pPr>
      <w:rPr/>
    </w:lvl>
    <w:lvl w:ilvl="2" w:tplc="84761BD8">
      <w:start w:val="1"/>
      <w:numFmt w:val="bullet"/>
      <w:lvlText w:val="–"/>
      <w:lvlJc w:val="left"/>
      <w:pPr>
        <w:ind w:hanging="360" w:left="2869"/>
      </w:pPr>
      <w:rPr/>
    </w:lvl>
    <w:lvl w:ilvl="3" w:tplc="987C6528">
      <w:start w:val="1"/>
      <w:numFmt w:val="bullet"/>
      <w:lvlText w:val="–"/>
      <w:lvlJc w:val="left"/>
      <w:pPr>
        <w:ind w:hanging="360" w:left="3589"/>
      </w:pPr>
      <w:rPr/>
    </w:lvl>
    <w:lvl w:ilvl="4" w:tplc="1E8A0B2C">
      <w:start w:val="1"/>
      <w:numFmt w:val="bullet"/>
      <w:lvlText w:val="–"/>
      <w:lvlJc w:val="left"/>
      <w:pPr>
        <w:ind w:hanging="360" w:left="4309"/>
      </w:pPr>
      <w:rPr/>
    </w:lvl>
    <w:lvl w:ilvl="5" w:tplc="E06C3E86">
      <w:start w:val="1"/>
      <w:numFmt w:val="bullet"/>
      <w:lvlText w:val="–"/>
      <w:lvlJc w:val="left"/>
      <w:pPr>
        <w:ind w:hanging="360" w:left="5029"/>
      </w:pPr>
      <w:rPr/>
    </w:lvl>
    <w:lvl w:ilvl="6" w:tplc="2132EDE0">
      <w:start w:val="1"/>
      <w:numFmt w:val="bullet"/>
      <w:lvlText w:val="–"/>
      <w:lvlJc w:val="left"/>
      <w:pPr>
        <w:ind w:hanging="360" w:left="5749"/>
      </w:pPr>
      <w:rPr/>
    </w:lvl>
    <w:lvl w:ilvl="7" w:tplc="334C4EFA">
      <w:start w:val="1"/>
      <w:numFmt w:val="bullet"/>
      <w:lvlText w:val="–"/>
      <w:lvlJc w:val="left"/>
      <w:pPr>
        <w:ind w:hanging="360" w:left="6469"/>
      </w:pPr>
      <w:rPr/>
    </w:lvl>
    <w:lvl w:ilvl="8" w:tplc="2CCE6382">
      <w:start w:val="1"/>
      <w:numFmt w:val="bullet"/>
      <w:lvlText w:val="–"/>
      <w:lvlJc w:val="left"/>
      <w:pPr>
        <w:ind w:hanging="360" w:left="7189"/>
      </w:pPr>
      <w:rPr/>
    </w:lvl>
  </w:abstractNum>
  <w:abstractNum w15:restartNumberingAfterBreak="0" w:abstractNumId="18">
    <w:nsid w:val="45481F2B"/>
    <w:multiLevelType w:val="hybridMultilevel"/>
    <w:tmpl w:val="C7B2ADBC"/>
    <w:lvl w:ilvl="0" w:tplc="0419000F">
      <w:start w:val="1"/>
      <w:numFmt w:val="decimal"/>
      <w:lvlText w:val="%1."/>
      <w:lvlJc w:val="left"/>
      <w:pPr>
        <w:ind w:hanging="360" w:left="720"/>
      </w:pPr>
    </w:lvl>
    <w:lvl w:ilvl="1" w:tentative="1" w:tplc="04190019">
      <w:start w:val="1"/>
      <w:numFmt w:val="lowerLetter"/>
      <w:lvlText w:val="%2."/>
      <w:lvlJc w:val="left"/>
      <w:pPr>
        <w:ind w:hanging="360" w:left="1440"/>
      </w:pPr>
    </w:lvl>
    <w:lvl w:ilvl="2" w:tentative="1" w:tplc="0419001B">
      <w:start w:val="1"/>
      <w:numFmt w:val="lowerRoman"/>
      <w:lvlText w:val="%3."/>
      <w:lvlJc w:val="right"/>
      <w:pPr>
        <w:ind w:hanging="180" w:left="2160"/>
      </w:pPr>
    </w:lvl>
    <w:lvl w:ilvl="3" w:tentative="1" w:tplc="0419000F">
      <w:start w:val="1"/>
      <w:numFmt w:val="decimal"/>
      <w:lvlText w:val="%4."/>
      <w:lvlJc w:val="left"/>
      <w:pPr>
        <w:ind w:hanging="360" w:left="2880"/>
      </w:pPr>
    </w:lvl>
    <w:lvl w:ilvl="4" w:tentative="1" w:tplc="04190019">
      <w:start w:val="1"/>
      <w:numFmt w:val="lowerLetter"/>
      <w:lvlText w:val="%5."/>
      <w:lvlJc w:val="left"/>
      <w:pPr>
        <w:ind w:hanging="360" w:left="3600"/>
      </w:pPr>
    </w:lvl>
    <w:lvl w:ilvl="5" w:tentative="1" w:tplc="0419001B">
      <w:start w:val="1"/>
      <w:numFmt w:val="lowerRoman"/>
      <w:lvlText w:val="%6."/>
      <w:lvlJc w:val="right"/>
      <w:pPr>
        <w:ind w:hanging="180" w:left="4320"/>
      </w:pPr>
    </w:lvl>
    <w:lvl w:ilvl="6" w:tentative="1" w:tplc="0419000F">
      <w:start w:val="1"/>
      <w:numFmt w:val="decimal"/>
      <w:lvlText w:val="%7."/>
      <w:lvlJc w:val="left"/>
      <w:pPr>
        <w:ind w:hanging="360" w:left="5040"/>
      </w:pPr>
    </w:lvl>
    <w:lvl w:ilvl="7" w:tentative="1" w:tplc="04190019">
      <w:start w:val="1"/>
      <w:numFmt w:val="lowerLetter"/>
      <w:lvlText w:val="%8."/>
      <w:lvlJc w:val="left"/>
      <w:pPr>
        <w:ind w:hanging="360" w:left="5760"/>
      </w:pPr>
    </w:lvl>
    <w:lvl w:ilvl="8" w:tentative="1" w:tplc="0419001B">
      <w:start w:val="1"/>
      <w:numFmt w:val="lowerRoman"/>
      <w:lvlText w:val="%9."/>
      <w:lvlJc w:val="right"/>
      <w:pPr>
        <w:ind w:hanging="180" w:left="6480"/>
      </w:pPr>
    </w:lvl>
  </w:abstractNum>
  <w:abstractNum w15:restartNumberingAfterBreak="0" w:abstractNumId="19">
    <w:nsid w:val="4646259A"/>
    <w:multiLevelType w:val="hybridMultilevel"/>
    <w:tmpl w:val="97505C52"/>
    <w:lvl w:ilvl="0" w:tplc="7C1E0900">
      <w:start w:val="1"/>
      <w:numFmt w:val="bullet"/>
      <w:lvlText w:val="–"/>
      <w:lvlJc w:val="left"/>
      <w:pPr>
        <w:ind w:hanging="360" w:left="1429"/>
      </w:pPr>
      <w:rPr/>
    </w:lvl>
    <w:lvl w:ilvl="1" w:tplc="DAF0BFF4">
      <w:start w:val="1"/>
      <w:numFmt w:val="bullet"/>
      <w:lvlText w:val="–"/>
      <w:lvlJc w:val="left"/>
      <w:pPr>
        <w:ind w:hanging="360" w:left="2149"/>
      </w:pPr>
      <w:rPr/>
    </w:lvl>
    <w:lvl w:ilvl="2" w:tplc="9A0E8BBC">
      <w:start w:val="1"/>
      <w:numFmt w:val="bullet"/>
      <w:lvlText w:val="–"/>
      <w:lvlJc w:val="left"/>
      <w:pPr>
        <w:ind w:hanging="360" w:left="2869"/>
      </w:pPr>
      <w:rPr/>
    </w:lvl>
    <w:lvl w:ilvl="3" w:tplc="568EEDEE">
      <w:start w:val="1"/>
      <w:numFmt w:val="bullet"/>
      <w:lvlText w:val="–"/>
      <w:lvlJc w:val="left"/>
      <w:pPr>
        <w:ind w:hanging="360" w:left="3589"/>
      </w:pPr>
      <w:rPr/>
    </w:lvl>
    <w:lvl w:ilvl="4" w:tplc="7C80A3BA">
      <w:start w:val="1"/>
      <w:numFmt w:val="bullet"/>
      <w:lvlText w:val="–"/>
      <w:lvlJc w:val="left"/>
      <w:pPr>
        <w:ind w:hanging="360" w:left="4309"/>
      </w:pPr>
      <w:rPr/>
    </w:lvl>
    <w:lvl w:ilvl="5" w:tplc="88A0D97E">
      <w:start w:val="1"/>
      <w:numFmt w:val="bullet"/>
      <w:lvlText w:val="–"/>
      <w:lvlJc w:val="left"/>
      <w:pPr>
        <w:ind w:hanging="360" w:left="5029"/>
      </w:pPr>
      <w:rPr/>
    </w:lvl>
    <w:lvl w:ilvl="6" w:tplc="382C8274">
      <w:start w:val="1"/>
      <w:numFmt w:val="bullet"/>
      <w:lvlText w:val="–"/>
      <w:lvlJc w:val="left"/>
      <w:pPr>
        <w:ind w:hanging="360" w:left="5749"/>
      </w:pPr>
      <w:rPr/>
    </w:lvl>
    <w:lvl w:ilvl="7" w:tplc="33721DF8">
      <w:start w:val="1"/>
      <w:numFmt w:val="bullet"/>
      <w:lvlText w:val="–"/>
      <w:lvlJc w:val="left"/>
      <w:pPr>
        <w:ind w:hanging="360" w:left="6469"/>
      </w:pPr>
      <w:rPr/>
    </w:lvl>
    <w:lvl w:ilvl="8" w:tplc="1F6A8076">
      <w:start w:val="1"/>
      <w:numFmt w:val="bullet"/>
      <w:lvlText w:val="–"/>
      <w:lvlJc w:val="left"/>
      <w:pPr>
        <w:ind w:hanging="360" w:left="7189"/>
      </w:pPr>
      <w:rPr/>
    </w:lvl>
  </w:abstractNum>
  <w:abstractNum w15:restartNumberingAfterBreak="0" w:abstractNumId="20">
    <w:nsid w:val="4EA30D98"/>
    <w:multiLevelType w:val="multilevel"/>
    <w:tmpl w:val="4D4EF7B6"/>
    <w:lvl w:ilvl="0">
      <w:start w:val="2"/>
      <w:numFmt w:val="decimal"/>
      <w:lvlText w:val="%1"/>
      <w:lvlJc w:val="left"/>
      <w:pPr>
        <w:ind w:hanging="405" w:left="405"/>
      </w:pPr>
    </w:lvl>
    <w:lvl w:ilvl="1">
      <w:start w:val="2"/>
      <w:numFmt w:val="decimal"/>
      <w:lvlText w:val="%1.%2"/>
      <w:lvlJc w:val="left"/>
      <w:pPr>
        <w:ind w:hanging="720" w:left="1146"/>
      </w:pPr>
    </w:lvl>
    <w:lvl w:ilvl="2">
      <w:start w:val="1"/>
      <w:numFmt w:val="decimal"/>
      <w:lvlText w:val="%1.%2.%3"/>
      <w:lvlJc w:val="left"/>
      <w:pPr>
        <w:ind w:hanging="720" w:left="1572"/>
      </w:pPr>
    </w:lvl>
    <w:lvl w:ilvl="3">
      <w:start w:val="1"/>
      <w:numFmt w:val="decimal"/>
      <w:lvlText w:val="%1.%2.%3.%4"/>
      <w:lvlJc w:val="left"/>
      <w:pPr>
        <w:ind w:hanging="1080" w:left="2358"/>
      </w:pPr>
    </w:lvl>
    <w:lvl w:ilvl="4">
      <w:start w:val="1"/>
      <w:numFmt w:val="decimal"/>
      <w:lvlText w:val="%1.%2.%3.%4.%5"/>
      <w:lvlJc w:val="left"/>
      <w:pPr>
        <w:ind w:hanging="1440" w:left="3144"/>
      </w:pPr>
    </w:lvl>
    <w:lvl w:ilvl="5">
      <w:start w:val="1"/>
      <w:numFmt w:val="decimal"/>
      <w:lvlText w:val="%1.%2.%3.%4.%5.%6"/>
      <w:lvlJc w:val="left"/>
      <w:pPr>
        <w:ind w:hanging="1440" w:left="3570"/>
      </w:pPr>
    </w:lvl>
    <w:lvl w:ilvl="6">
      <w:start w:val="1"/>
      <w:numFmt w:val="decimal"/>
      <w:lvlText w:val="%1.%2.%3.%4.%5.%6.%7"/>
      <w:lvlJc w:val="left"/>
      <w:pPr>
        <w:ind w:hanging="1800" w:left="4356"/>
      </w:pPr>
    </w:lvl>
    <w:lvl w:ilvl="7">
      <w:start w:val="1"/>
      <w:numFmt w:val="decimal"/>
      <w:lvlText w:val="%1.%2.%3.%4.%5.%6.%7.%8"/>
      <w:lvlJc w:val="left"/>
      <w:pPr>
        <w:ind w:hanging="2160" w:left="5142"/>
      </w:pPr>
    </w:lvl>
    <w:lvl w:ilvl="8">
      <w:start w:val="1"/>
      <w:numFmt w:val="decimal"/>
      <w:lvlText w:val="%1.%2.%3.%4.%5.%6.%7.%8.%9"/>
      <w:lvlJc w:val="left"/>
      <w:pPr>
        <w:ind w:hanging="2160" w:left="5568"/>
      </w:pPr>
    </w:lvl>
  </w:abstractNum>
  <w:abstractNum w15:restartNumberingAfterBreak="0" w:abstractNumId="21">
    <w:nsid w:val="52177939"/>
    <w:multiLevelType w:val="hybridMultilevel"/>
    <w:tmpl w:val="A69C44D6"/>
    <w:lvl w:ilvl="0" w:tplc="04190011">
      <w:start w:val="1"/>
      <w:numFmt w:val="decimal"/>
      <w:lvlText w:val="%1)"/>
      <w:lvlJc w:val="left"/>
      <w:pPr>
        <w:ind w:hanging="360" w:left="1429"/>
      </w:pPr>
    </w:lvl>
    <w:lvl w:ilvl="1" w:tplc="ADE6CF82">
      <w:start w:val="1"/>
      <w:numFmt w:val="lowerLetter"/>
      <w:lvlText w:val="%2."/>
      <w:lvlJc w:val="left"/>
      <w:pPr>
        <w:ind w:hanging="360" w:left="2149"/>
      </w:pPr>
    </w:lvl>
    <w:lvl w:ilvl="2" w:tplc="4AF04A9C">
      <w:start w:val="1"/>
      <w:numFmt w:val="lowerRoman"/>
      <w:lvlText w:val="%3."/>
      <w:lvlJc w:val="right"/>
      <w:pPr>
        <w:ind w:hanging="180" w:left="2869"/>
      </w:pPr>
    </w:lvl>
    <w:lvl w:ilvl="3" w:tplc="A36AB30A">
      <w:start w:val="1"/>
      <w:numFmt w:val="decimal"/>
      <w:lvlText w:val="%4."/>
      <w:lvlJc w:val="left"/>
      <w:pPr>
        <w:ind w:hanging="360" w:left="3589"/>
      </w:pPr>
    </w:lvl>
    <w:lvl w:ilvl="4" w:tplc="1478B0E6">
      <w:start w:val="1"/>
      <w:numFmt w:val="lowerLetter"/>
      <w:lvlText w:val="%5."/>
      <w:lvlJc w:val="left"/>
      <w:pPr>
        <w:ind w:hanging="360" w:left="4309"/>
      </w:pPr>
    </w:lvl>
    <w:lvl w:ilvl="5" w:tplc="05804D54">
      <w:start w:val="1"/>
      <w:numFmt w:val="lowerRoman"/>
      <w:lvlText w:val="%6."/>
      <w:lvlJc w:val="right"/>
      <w:pPr>
        <w:ind w:hanging="180" w:left="5029"/>
      </w:pPr>
    </w:lvl>
    <w:lvl w:ilvl="6" w:tplc="0A9C65E2">
      <w:start w:val="1"/>
      <w:numFmt w:val="decimal"/>
      <w:lvlText w:val="%7."/>
      <w:lvlJc w:val="left"/>
      <w:pPr>
        <w:ind w:hanging="360" w:left="5749"/>
      </w:pPr>
    </w:lvl>
    <w:lvl w:ilvl="7" w:tplc="0C0807F2">
      <w:start w:val="1"/>
      <w:numFmt w:val="lowerLetter"/>
      <w:lvlText w:val="%8."/>
      <w:lvlJc w:val="left"/>
      <w:pPr>
        <w:ind w:hanging="360" w:left="6469"/>
      </w:pPr>
    </w:lvl>
    <w:lvl w:ilvl="8" w:tplc="33B2A224">
      <w:start w:val="1"/>
      <w:numFmt w:val="lowerRoman"/>
      <w:lvlText w:val="%9."/>
      <w:lvlJc w:val="right"/>
      <w:pPr>
        <w:ind w:hanging="180" w:left="7189"/>
      </w:pPr>
    </w:lvl>
  </w:abstractNum>
  <w:abstractNum w15:restartNumberingAfterBreak="0" w:abstractNumId="22">
    <w:nsid w:val="536E62F3"/>
    <w:multiLevelType w:val="hybridMultilevel"/>
    <w:tmpl w:val="9C60B77E"/>
    <w:lvl w:ilvl="0" w:tplc="0F4C53A2">
      <w:start w:val="1"/>
      <w:numFmt w:val="bullet"/>
      <w:lvlText w:val="–"/>
      <w:lvlJc w:val="left"/>
      <w:pPr>
        <w:ind w:hanging="360" w:left="1068"/>
      </w:pPr>
      <w:rPr/>
    </w:lvl>
    <w:lvl w:ilvl="1" w:tplc="FF50471A">
      <w:start w:val="1"/>
      <w:numFmt w:val="bullet"/>
      <w:lvlText w:val="–"/>
      <w:lvlJc w:val="left"/>
      <w:pPr>
        <w:ind w:hanging="360" w:left="1788"/>
      </w:pPr>
      <w:rPr/>
    </w:lvl>
    <w:lvl w:ilvl="2" w:tplc="05DABF62">
      <w:start w:val="1"/>
      <w:numFmt w:val="bullet"/>
      <w:lvlText w:val="–"/>
      <w:lvlJc w:val="left"/>
      <w:pPr>
        <w:ind w:hanging="360" w:left="2508"/>
      </w:pPr>
      <w:rPr/>
    </w:lvl>
    <w:lvl w:ilvl="3" w:tplc="95D0DF90">
      <w:start w:val="1"/>
      <w:numFmt w:val="bullet"/>
      <w:lvlText w:val="–"/>
      <w:lvlJc w:val="left"/>
      <w:pPr>
        <w:ind w:hanging="360" w:left="3228"/>
      </w:pPr>
      <w:rPr/>
    </w:lvl>
    <w:lvl w:ilvl="4" w:tplc="437C66EC">
      <w:start w:val="1"/>
      <w:numFmt w:val="bullet"/>
      <w:lvlText w:val="–"/>
      <w:lvlJc w:val="left"/>
      <w:pPr>
        <w:ind w:hanging="360" w:left="3948"/>
      </w:pPr>
      <w:rPr/>
    </w:lvl>
    <w:lvl w:ilvl="5" w:tplc="C6288AE2">
      <w:start w:val="1"/>
      <w:numFmt w:val="bullet"/>
      <w:lvlText w:val="–"/>
      <w:lvlJc w:val="left"/>
      <w:pPr>
        <w:ind w:hanging="360" w:left="4668"/>
      </w:pPr>
      <w:rPr/>
    </w:lvl>
    <w:lvl w:ilvl="6" w:tplc="955C705C">
      <w:start w:val="1"/>
      <w:numFmt w:val="bullet"/>
      <w:lvlText w:val="–"/>
      <w:lvlJc w:val="left"/>
      <w:pPr>
        <w:ind w:hanging="360" w:left="5388"/>
      </w:pPr>
      <w:rPr/>
    </w:lvl>
    <w:lvl w:ilvl="7" w:tplc="0186E6D6">
      <w:start w:val="1"/>
      <w:numFmt w:val="bullet"/>
      <w:lvlText w:val="–"/>
      <w:lvlJc w:val="left"/>
      <w:pPr>
        <w:ind w:hanging="360" w:left="6108"/>
      </w:pPr>
      <w:rPr/>
    </w:lvl>
    <w:lvl w:ilvl="8" w:tplc="5DD2B470">
      <w:start w:val="1"/>
      <w:numFmt w:val="bullet"/>
      <w:lvlText w:val="–"/>
      <w:lvlJc w:val="left"/>
      <w:pPr>
        <w:ind w:hanging="360" w:left="6828"/>
      </w:pPr>
      <w:rPr/>
    </w:lvl>
  </w:abstractNum>
  <w:abstractNum w15:restartNumberingAfterBreak="0" w:abstractNumId="23">
    <w:nsid w:val="559570EA"/>
    <w:multiLevelType w:val="hybridMultilevel"/>
    <w:tmpl w:val="2A80EF66"/>
    <w:lvl w:ilvl="0" w:tplc="A2EA9204">
      <w:start w:val="1"/>
      <w:numFmt w:val="decimal"/>
      <w:lvlText w:val="%1."/>
      <w:lvlJc w:val="left"/>
      <w:pPr>
        <w:ind w:hanging="360" w:left="720"/>
      </w:pPr>
    </w:lvl>
    <w:lvl w:ilvl="1" w:tplc="066E07E2">
      <w:start w:val="1"/>
      <w:numFmt w:val="lowerLetter"/>
      <w:lvlText w:val="%2."/>
      <w:lvlJc w:val="left"/>
      <w:pPr>
        <w:ind w:hanging="360" w:left="1440"/>
      </w:pPr>
    </w:lvl>
    <w:lvl w:ilvl="2" w:tplc="B0740132">
      <w:start w:val="1"/>
      <w:numFmt w:val="lowerRoman"/>
      <w:lvlText w:val="%3."/>
      <w:lvlJc w:val="right"/>
      <w:pPr>
        <w:ind w:hanging="180" w:left="2160"/>
      </w:pPr>
    </w:lvl>
    <w:lvl w:ilvl="3" w:tplc="2CD0A2A4">
      <w:start w:val="1"/>
      <w:numFmt w:val="decimal"/>
      <w:lvlText w:val="%4."/>
      <w:lvlJc w:val="left"/>
      <w:pPr>
        <w:ind w:hanging="360" w:left="2880"/>
      </w:pPr>
    </w:lvl>
    <w:lvl w:ilvl="4" w:tplc="ECAE7E5C">
      <w:start w:val="1"/>
      <w:numFmt w:val="lowerLetter"/>
      <w:lvlText w:val="%5."/>
      <w:lvlJc w:val="left"/>
      <w:pPr>
        <w:ind w:hanging="360" w:left="3600"/>
      </w:pPr>
    </w:lvl>
    <w:lvl w:ilvl="5" w:tplc="12689DCC">
      <w:start w:val="1"/>
      <w:numFmt w:val="lowerRoman"/>
      <w:lvlText w:val="%6."/>
      <w:lvlJc w:val="right"/>
      <w:pPr>
        <w:ind w:hanging="180" w:left="4320"/>
      </w:pPr>
    </w:lvl>
    <w:lvl w:ilvl="6" w:tplc="1C065CD6">
      <w:start w:val="1"/>
      <w:numFmt w:val="decimal"/>
      <w:lvlText w:val="%7."/>
      <w:lvlJc w:val="left"/>
      <w:pPr>
        <w:ind w:hanging="360" w:left="5040"/>
      </w:pPr>
    </w:lvl>
    <w:lvl w:ilvl="7" w:tplc="15384B12">
      <w:start w:val="1"/>
      <w:numFmt w:val="lowerLetter"/>
      <w:lvlText w:val="%8."/>
      <w:lvlJc w:val="left"/>
      <w:pPr>
        <w:ind w:hanging="360" w:left="5760"/>
      </w:pPr>
    </w:lvl>
    <w:lvl w:ilvl="8" w:tplc="4A9A4F64">
      <w:start w:val="1"/>
      <w:numFmt w:val="lowerRoman"/>
      <w:lvlText w:val="%9."/>
      <w:lvlJc w:val="right"/>
      <w:pPr>
        <w:ind w:hanging="180" w:left="6480"/>
      </w:pPr>
    </w:lvl>
  </w:abstractNum>
  <w:abstractNum w15:restartNumberingAfterBreak="0" w:abstractNumId="24">
    <w:nsid w:val="56D45A65"/>
    <w:multiLevelType w:val="hybridMultilevel"/>
    <w:tmpl w:val="490CBE6C"/>
    <w:lvl w:ilvl="0" w:tplc="0419000F">
      <w:start w:val="1"/>
      <w:numFmt w:val="decimal"/>
      <w:lvlText w:val="%1."/>
      <w:lvlJc w:val="left"/>
      <w:pPr>
        <w:ind w:hanging="360" w:left="720"/>
      </w:pPr>
    </w:lvl>
    <w:lvl w:ilvl="1" w:tentative="1" w:tplc="04190019">
      <w:start w:val="1"/>
      <w:numFmt w:val="lowerLetter"/>
      <w:lvlText w:val="%2."/>
      <w:lvlJc w:val="left"/>
      <w:pPr>
        <w:ind w:hanging="360" w:left="1440"/>
      </w:pPr>
    </w:lvl>
    <w:lvl w:ilvl="2" w:tentative="1" w:tplc="0419001B">
      <w:start w:val="1"/>
      <w:numFmt w:val="lowerRoman"/>
      <w:lvlText w:val="%3."/>
      <w:lvlJc w:val="right"/>
      <w:pPr>
        <w:ind w:hanging="180" w:left="2160"/>
      </w:pPr>
    </w:lvl>
    <w:lvl w:ilvl="3" w:tentative="1" w:tplc="0419000F">
      <w:start w:val="1"/>
      <w:numFmt w:val="decimal"/>
      <w:lvlText w:val="%4."/>
      <w:lvlJc w:val="left"/>
      <w:pPr>
        <w:ind w:hanging="360" w:left="2880"/>
      </w:pPr>
    </w:lvl>
    <w:lvl w:ilvl="4" w:tentative="1" w:tplc="04190019">
      <w:start w:val="1"/>
      <w:numFmt w:val="lowerLetter"/>
      <w:lvlText w:val="%5."/>
      <w:lvlJc w:val="left"/>
      <w:pPr>
        <w:ind w:hanging="360" w:left="3600"/>
      </w:pPr>
    </w:lvl>
    <w:lvl w:ilvl="5" w:tentative="1" w:tplc="0419001B">
      <w:start w:val="1"/>
      <w:numFmt w:val="lowerRoman"/>
      <w:lvlText w:val="%6."/>
      <w:lvlJc w:val="right"/>
      <w:pPr>
        <w:ind w:hanging="180" w:left="4320"/>
      </w:pPr>
    </w:lvl>
    <w:lvl w:ilvl="6" w:tentative="1" w:tplc="0419000F">
      <w:start w:val="1"/>
      <w:numFmt w:val="decimal"/>
      <w:lvlText w:val="%7."/>
      <w:lvlJc w:val="left"/>
      <w:pPr>
        <w:ind w:hanging="360" w:left="5040"/>
      </w:pPr>
    </w:lvl>
    <w:lvl w:ilvl="7" w:tentative="1" w:tplc="04190019">
      <w:start w:val="1"/>
      <w:numFmt w:val="lowerLetter"/>
      <w:lvlText w:val="%8."/>
      <w:lvlJc w:val="left"/>
      <w:pPr>
        <w:ind w:hanging="360" w:left="5760"/>
      </w:pPr>
    </w:lvl>
    <w:lvl w:ilvl="8" w:tentative="1" w:tplc="0419001B">
      <w:start w:val="1"/>
      <w:numFmt w:val="lowerRoman"/>
      <w:lvlText w:val="%9."/>
      <w:lvlJc w:val="right"/>
      <w:pPr>
        <w:ind w:hanging="180" w:left="6480"/>
      </w:pPr>
    </w:lvl>
  </w:abstractNum>
  <w:abstractNum w15:restartNumberingAfterBreak="0" w:abstractNumId="25">
    <w:nsid w:val="58950316"/>
    <w:multiLevelType w:val="hybridMultilevel"/>
    <w:tmpl w:val="2ABE1B88"/>
    <w:lvl w:ilvl="0" w:tplc="7C1E0900">
      <w:start w:val="1"/>
      <w:numFmt w:val="bullet"/>
      <w:lvlText w:val="–"/>
      <w:lvlJc w:val="left"/>
      <w:pPr>
        <w:tabs>
          <w:tab w:pos="720" w:val="num"/>
        </w:tabs>
        <w:ind w:hanging="360" w:left="720"/>
      </w:pPr>
      <w:rPr>
        <w:b w:val="0"/>
        <w:bCs/>
        <w:sz w:val="28"/>
        <w:szCs w:val="28"/>
      </w:rPr>
    </w:lvl>
    <w:lvl w:ilvl="1" w:tplc="3F68D658">
      <w:start w:val="1"/>
      <w:numFmt w:val="bullet"/>
      <w:lvlText w:val="–"/>
      <w:lvlJc w:val="left"/>
      <w:pPr>
        <w:tabs>
          <w:tab w:pos="1440" w:val="num"/>
        </w:tabs>
        <w:ind w:hanging="360" w:left="1440"/>
      </w:pPr>
      <w:rPr/>
    </w:lvl>
    <w:lvl w:ilvl="2" w:tplc="98545A8E">
      <w:start w:val="1"/>
      <w:numFmt w:val="decimal"/>
      <w:lvlText w:val="%3."/>
      <w:lvlJc w:val="left"/>
      <w:pPr>
        <w:tabs>
          <w:tab w:pos="2160" w:val="num"/>
        </w:tabs>
        <w:ind w:hanging="360" w:left="2160"/>
      </w:pPr>
      <w:rPr>
        <w:rFonts w:ascii="Times New Roman" w:cs="Times New Roman" w:hAnsi="Times New Roman"/>
      </w:rPr>
    </w:lvl>
    <w:lvl w:ilvl="3" w:tplc="4DE24598">
      <w:start w:val="1"/>
      <w:numFmt w:val="decimal"/>
      <w:lvlText w:val="%4."/>
      <w:lvlJc w:val="left"/>
      <w:pPr>
        <w:tabs>
          <w:tab w:pos="2880" w:val="num"/>
        </w:tabs>
        <w:ind w:hanging="360" w:left="2880"/>
      </w:pPr>
      <w:rPr>
        <w:rFonts w:ascii="Times New Roman" w:cs="Times New Roman" w:hAnsi="Times New Roman"/>
      </w:rPr>
    </w:lvl>
    <w:lvl w:ilvl="4" w:tplc="47A85B4E">
      <w:start w:val="1"/>
      <w:numFmt w:val="decimal"/>
      <w:lvlText w:val="%5."/>
      <w:lvlJc w:val="left"/>
      <w:pPr>
        <w:tabs>
          <w:tab w:pos="3600" w:val="num"/>
        </w:tabs>
        <w:ind w:hanging="360" w:left="3600"/>
      </w:pPr>
      <w:rPr>
        <w:rFonts w:ascii="Times New Roman" w:cs="Times New Roman" w:hAnsi="Times New Roman"/>
      </w:rPr>
    </w:lvl>
    <w:lvl w:ilvl="5" w:tplc="26B0B496">
      <w:start w:val="1"/>
      <w:numFmt w:val="decimal"/>
      <w:lvlText w:val="%6."/>
      <w:lvlJc w:val="left"/>
      <w:pPr>
        <w:tabs>
          <w:tab w:pos="4320" w:val="num"/>
        </w:tabs>
        <w:ind w:hanging="360" w:left="4320"/>
      </w:pPr>
      <w:rPr>
        <w:rFonts w:ascii="Times New Roman" w:cs="Times New Roman" w:hAnsi="Times New Roman"/>
      </w:rPr>
    </w:lvl>
    <w:lvl w:ilvl="6" w:tplc="616A9894">
      <w:start w:val="1"/>
      <w:numFmt w:val="decimal"/>
      <w:lvlText w:val="%7."/>
      <w:lvlJc w:val="left"/>
      <w:pPr>
        <w:tabs>
          <w:tab w:pos="5040" w:val="num"/>
        </w:tabs>
        <w:ind w:hanging="360" w:left="5040"/>
      </w:pPr>
      <w:rPr>
        <w:rFonts w:ascii="Times New Roman" w:cs="Times New Roman" w:hAnsi="Times New Roman"/>
      </w:rPr>
    </w:lvl>
    <w:lvl w:ilvl="7" w:tplc="EA10072A">
      <w:start w:val="1"/>
      <w:numFmt w:val="decimal"/>
      <w:lvlText w:val="%8."/>
      <w:lvlJc w:val="left"/>
      <w:pPr>
        <w:tabs>
          <w:tab w:pos="5760" w:val="num"/>
        </w:tabs>
        <w:ind w:hanging="360" w:left="5760"/>
      </w:pPr>
      <w:rPr>
        <w:rFonts w:ascii="Times New Roman" w:cs="Times New Roman" w:hAnsi="Times New Roman"/>
      </w:rPr>
    </w:lvl>
    <w:lvl w:ilvl="8" w:tplc="16922A34">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26">
    <w:nsid w:val="5DE86091"/>
    <w:multiLevelType w:val="hybridMultilevel"/>
    <w:tmpl w:val="B83A1232"/>
    <w:lvl w:ilvl="0" w:tplc="04190011">
      <w:start w:val="1"/>
      <w:numFmt w:val="decimal"/>
      <w:lvlText w:val="%1)"/>
      <w:lvlJc w:val="left"/>
      <w:pPr>
        <w:ind w:hanging="360" w:left="1429"/>
      </w:pPr>
    </w:lvl>
    <w:lvl w:ilvl="1" w:tplc="0F8CB07C">
      <w:start w:val="1"/>
      <w:numFmt w:val="bullet"/>
      <w:lvlText w:val="–"/>
      <w:lvlJc w:val="left"/>
      <w:pPr>
        <w:ind w:hanging="360" w:left="2149"/>
      </w:pPr>
      <w:rPr/>
    </w:lvl>
    <w:lvl w:ilvl="2" w:tplc="11A8AE88">
      <w:start w:val="1"/>
      <w:numFmt w:val="bullet"/>
      <w:lvlText w:val="–"/>
      <w:lvlJc w:val="left"/>
      <w:pPr>
        <w:ind w:hanging="360" w:left="2869"/>
      </w:pPr>
      <w:rPr/>
    </w:lvl>
    <w:lvl w:ilvl="3" w:tplc="227EC682">
      <w:start w:val="1"/>
      <w:numFmt w:val="bullet"/>
      <w:lvlText w:val="–"/>
      <w:lvlJc w:val="left"/>
      <w:pPr>
        <w:ind w:hanging="360" w:left="3589"/>
      </w:pPr>
      <w:rPr/>
    </w:lvl>
    <w:lvl w:ilvl="4" w:tplc="FBE8B53A">
      <w:start w:val="1"/>
      <w:numFmt w:val="bullet"/>
      <w:lvlText w:val="–"/>
      <w:lvlJc w:val="left"/>
      <w:pPr>
        <w:ind w:hanging="360" w:left="4309"/>
      </w:pPr>
      <w:rPr/>
    </w:lvl>
    <w:lvl w:ilvl="5" w:tplc="F886C1DC">
      <w:start w:val="1"/>
      <w:numFmt w:val="bullet"/>
      <w:lvlText w:val="–"/>
      <w:lvlJc w:val="left"/>
      <w:pPr>
        <w:ind w:hanging="360" w:left="5029"/>
      </w:pPr>
      <w:rPr/>
    </w:lvl>
    <w:lvl w:ilvl="6" w:tplc="8D2AEB38">
      <w:start w:val="1"/>
      <w:numFmt w:val="bullet"/>
      <w:lvlText w:val="–"/>
      <w:lvlJc w:val="left"/>
      <w:pPr>
        <w:ind w:hanging="360" w:left="5749"/>
      </w:pPr>
      <w:rPr/>
    </w:lvl>
    <w:lvl w:ilvl="7" w:tplc="585E7C14">
      <w:start w:val="1"/>
      <w:numFmt w:val="bullet"/>
      <w:lvlText w:val="–"/>
      <w:lvlJc w:val="left"/>
      <w:pPr>
        <w:ind w:hanging="360" w:left="6469"/>
      </w:pPr>
      <w:rPr/>
    </w:lvl>
    <w:lvl w:ilvl="8" w:tplc="A2587736">
      <w:start w:val="1"/>
      <w:numFmt w:val="bullet"/>
      <w:lvlText w:val="–"/>
      <w:lvlJc w:val="left"/>
      <w:pPr>
        <w:ind w:hanging="360" w:left="7189"/>
      </w:pPr>
      <w:rPr/>
    </w:lvl>
  </w:abstractNum>
  <w:abstractNum w15:restartNumberingAfterBreak="0" w:abstractNumId="27">
    <w:nsid w:val="639C2B04"/>
    <w:multiLevelType w:val="hybridMultilevel"/>
    <w:tmpl w:val="EAE29DCA"/>
    <w:lvl w:ilvl="0" w:tplc="BD48177A">
      <w:start w:val="1"/>
      <w:numFmt w:val="decimal"/>
      <w:lvlText w:val="%1."/>
      <w:lvlJc w:val="left"/>
      <w:pPr>
        <w:ind w:hanging="360" w:left="1429"/>
      </w:pPr>
    </w:lvl>
    <w:lvl w:ilvl="1" w:tplc="F7E82566">
      <w:start w:val="1"/>
      <w:numFmt w:val="lowerLetter"/>
      <w:lvlText w:val="%2."/>
      <w:lvlJc w:val="left"/>
      <w:pPr>
        <w:ind w:hanging="360" w:left="2149"/>
      </w:pPr>
    </w:lvl>
    <w:lvl w:ilvl="2" w:tplc="040C9A86">
      <w:start w:val="1"/>
      <w:numFmt w:val="lowerRoman"/>
      <w:lvlText w:val="%3."/>
      <w:lvlJc w:val="right"/>
      <w:pPr>
        <w:ind w:hanging="180" w:left="2869"/>
      </w:pPr>
    </w:lvl>
    <w:lvl w:ilvl="3" w:tplc="832A6204">
      <w:start w:val="1"/>
      <w:numFmt w:val="decimal"/>
      <w:lvlText w:val="%4."/>
      <w:lvlJc w:val="left"/>
      <w:pPr>
        <w:ind w:hanging="360" w:left="3589"/>
      </w:pPr>
    </w:lvl>
    <w:lvl w:ilvl="4" w:tplc="A73AE214">
      <w:start w:val="1"/>
      <w:numFmt w:val="lowerLetter"/>
      <w:lvlText w:val="%5."/>
      <w:lvlJc w:val="left"/>
      <w:pPr>
        <w:ind w:hanging="360" w:left="4309"/>
      </w:pPr>
    </w:lvl>
    <w:lvl w:ilvl="5" w:tplc="96F6CCB4">
      <w:start w:val="1"/>
      <w:numFmt w:val="lowerRoman"/>
      <w:lvlText w:val="%6."/>
      <w:lvlJc w:val="right"/>
      <w:pPr>
        <w:ind w:hanging="180" w:left="5029"/>
      </w:pPr>
    </w:lvl>
    <w:lvl w:ilvl="6" w:tplc="A2809784">
      <w:start w:val="1"/>
      <w:numFmt w:val="decimal"/>
      <w:lvlText w:val="%7."/>
      <w:lvlJc w:val="left"/>
      <w:pPr>
        <w:ind w:hanging="360" w:left="5749"/>
      </w:pPr>
    </w:lvl>
    <w:lvl w:ilvl="7" w:tplc="18909FAE">
      <w:start w:val="1"/>
      <w:numFmt w:val="lowerLetter"/>
      <w:lvlText w:val="%8."/>
      <w:lvlJc w:val="left"/>
      <w:pPr>
        <w:ind w:hanging="360" w:left="6469"/>
      </w:pPr>
    </w:lvl>
    <w:lvl w:ilvl="8" w:tplc="430EBD6C">
      <w:start w:val="1"/>
      <w:numFmt w:val="lowerRoman"/>
      <w:lvlText w:val="%9."/>
      <w:lvlJc w:val="right"/>
      <w:pPr>
        <w:ind w:hanging="180" w:left="7189"/>
      </w:pPr>
    </w:lvl>
  </w:abstractNum>
  <w:abstractNum w15:restartNumberingAfterBreak="0" w:abstractNumId="28">
    <w:nsid w:val="696641B0"/>
    <w:multiLevelType w:val="hybridMultilevel"/>
    <w:tmpl w:val="5C443866"/>
    <w:lvl w:ilvl="0" w:tplc="7C1E0900">
      <w:start w:val="1"/>
      <w:numFmt w:val="bullet"/>
      <w:lvlText w:val="–"/>
      <w:lvlJc w:val="left"/>
      <w:pPr>
        <w:tabs>
          <w:tab w:pos="720" w:val="num"/>
        </w:tabs>
        <w:ind w:hanging="360" w:left="720"/>
      </w:pPr>
      <w:rPr>
        <w:b w:val="0"/>
        <w:bCs/>
        <w:sz w:val="28"/>
        <w:szCs w:val="28"/>
      </w:rPr>
    </w:lvl>
    <w:lvl w:ilvl="1" w:tplc="29528ABA">
      <w:start w:val="1"/>
      <w:numFmt w:val="bullet"/>
      <w:lvlText w:val="–"/>
      <w:lvlJc w:val="left"/>
      <w:pPr>
        <w:tabs>
          <w:tab w:pos="1440" w:val="num"/>
        </w:tabs>
        <w:ind w:hanging="360" w:left="1440"/>
      </w:pPr>
      <w:rPr/>
    </w:lvl>
    <w:lvl w:ilvl="2" w:tplc="8DEC3A54">
      <w:start w:val="1"/>
      <w:numFmt w:val="decimal"/>
      <w:lvlText w:val="%3."/>
      <w:lvlJc w:val="left"/>
      <w:pPr>
        <w:tabs>
          <w:tab w:pos="2160" w:val="num"/>
        </w:tabs>
        <w:ind w:hanging="360" w:left="2160"/>
      </w:pPr>
      <w:rPr>
        <w:rFonts w:ascii="Times New Roman" w:cs="Times New Roman" w:hAnsi="Times New Roman"/>
      </w:rPr>
    </w:lvl>
    <w:lvl w:ilvl="3" w:tplc="07C688DA">
      <w:start w:val="1"/>
      <w:numFmt w:val="decimal"/>
      <w:lvlText w:val="%4."/>
      <w:lvlJc w:val="left"/>
      <w:pPr>
        <w:tabs>
          <w:tab w:pos="2880" w:val="num"/>
        </w:tabs>
        <w:ind w:hanging="360" w:left="2880"/>
      </w:pPr>
      <w:rPr>
        <w:rFonts w:ascii="Times New Roman" w:cs="Times New Roman" w:hAnsi="Times New Roman"/>
      </w:rPr>
    </w:lvl>
    <w:lvl w:ilvl="4" w:tplc="74ECE6CA">
      <w:start w:val="1"/>
      <w:numFmt w:val="decimal"/>
      <w:lvlText w:val="%5."/>
      <w:lvlJc w:val="left"/>
      <w:pPr>
        <w:tabs>
          <w:tab w:pos="3600" w:val="num"/>
        </w:tabs>
        <w:ind w:hanging="360" w:left="3600"/>
      </w:pPr>
      <w:rPr>
        <w:rFonts w:ascii="Times New Roman" w:cs="Times New Roman" w:hAnsi="Times New Roman"/>
      </w:rPr>
    </w:lvl>
    <w:lvl w:ilvl="5" w:tplc="7A8A7680">
      <w:start w:val="1"/>
      <w:numFmt w:val="decimal"/>
      <w:lvlText w:val="%6."/>
      <w:lvlJc w:val="left"/>
      <w:pPr>
        <w:tabs>
          <w:tab w:pos="4320" w:val="num"/>
        </w:tabs>
        <w:ind w:hanging="360" w:left="4320"/>
      </w:pPr>
      <w:rPr>
        <w:rFonts w:ascii="Times New Roman" w:cs="Times New Roman" w:hAnsi="Times New Roman"/>
      </w:rPr>
    </w:lvl>
    <w:lvl w:ilvl="6" w:tplc="88C0D6B6">
      <w:start w:val="1"/>
      <w:numFmt w:val="decimal"/>
      <w:lvlText w:val="%7."/>
      <w:lvlJc w:val="left"/>
      <w:pPr>
        <w:tabs>
          <w:tab w:pos="5040" w:val="num"/>
        </w:tabs>
        <w:ind w:hanging="360" w:left="5040"/>
      </w:pPr>
      <w:rPr>
        <w:rFonts w:ascii="Times New Roman" w:cs="Times New Roman" w:hAnsi="Times New Roman"/>
      </w:rPr>
    </w:lvl>
    <w:lvl w:ilvl="7" w:tplc="A8D8D942">
      <w:start w:val="1"/>
      <w:numFmt w:val="decimal"/>
      <w:lvlText w:val="%8."/>
      <w:lvlJc w:val="left"/>
      <w:pPr>
        <w:tabs>
          <w:tab w:pos="5760" w:val="num"/>
        </w:tabs>
        <w:ind w:hanging="360" w:left="5760"/>
      </w:pPr>
      <w:rPr>
        <w:rFonts w:ascii="Times New Roman" w:cs="Times New Roman" w:hAnsi="Times New Roman"/>
      </w:rPr>
    </w:lvl>
    <w:lvl w:ilvl="8" w:tplc="3E046CFC">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29">
    <w:nsid w:val="71CB4C43"/>
    <w:multiLevelType w:val="hybridMultilevel"/>
    <w:tmpl w:val="CA164D5A"/>
    <w:lvl w:ilvl="0" w:tplc="7C1E0900">
      <w:start w:val="1"/>
      <w:numFmt w:val="bullet"/>
      <w:lvlText w:val="–"/>
      <w:lvlJc w:val="left"/>
      <w:pPr>
        <w:ind w:hanging="360" w:left="1429"/>
      </w:pPr>
      <w:rPr/>
    </w:lvl>
    <w:lvl w:ilvl="1" w:tplc="A11E7C46">
      <w:start w:val="1"/>
      <w:numFmt w:val="bullet"/>
      <w:lvlText w:val="–"/>
      <w:lvlJc w:val="left"/>
      <w:pPr>
        <w:ind w:hanging="360" w:left="2149"/>
      </w:pPr>
      <w:rPr/>
    </w:lvl>
    <w:lvl w:ilvl="2" w:tplc="2D521A86">
      <w:start w:val="1"/>
      <w:numFmt w:val="bullet"/>
      <w:lvlText w:val="–"/>
      <w:lvlJc w:val="left"/>
      <w:pPr>
        <w:ind w:hanging="360" w:left="2869"/>
      </w:pPr>
      <w:rPr/>
    </w:lvl>
    <w:lvl w:ilvl="3" w:tplc="111C9F2E">
      <w:start w:val="1"/>
      <w:numFmt w:val="bullet"/>
      <w:lvlText w:val="–"/>
      <w:lvlJc w:val="left"/>
      <w:pPr>
        <w:ind w:hanging="360" w:left="3589"/>
      </w:pPr>
      <w:rPr/>
    </w:lvl>
    <w:lvl w:ilvl="4" w:tplc="33DA8450">
      <w:start w:val="1"/>
      <w:numFmt w:val="bullet"/>
      <w:lvlText w:val="–"/>
      <w:lvlJc w:val="left"/>
      <w:pPr>
        <w:ind w:hanging="360" w:left="4309"/>
      </w:pPr>
      <w:rPr/>
    </w:lvl>
    <w:lvl w:ilvl="5" w:tplc="98068682">
      <w:start w:val="1"/>
      <w:numFmt w:val="bullet"/>
      <w:lvlText w:val="–"/>
      <w:lvlJc w:val="left"/>
      <w:pPr>
        <w:ind w:hanging="360" w:left="5029"/>
      </w:pPr>
      <w:rPr/>
    </w:lvl>
    <w:lvl w:ilvl="6" w:tplc="C928B12C">
      <w:start w:val="1"/>
      <w:numFmt w:val="bullet"/>
      <w:lvlText w:val="–"/>
      <w:lvlJc w:val="left"/>
      <w:pPr>
        <w:ind w:hanging="360" w:left="5749"/>
      </w:pPr>
      <w:rPr/>
    </w:lvl>
    <w:lvl w:ilvl="7" w:tplc="6534FE06">
      <w:start w:val="1"/>
      <w:numFmt w:val="bullet"/>
      <w:lvlText w:val="–"/>
      <w:lvlJc w:val="left"/>
      <w:pPr>
        <w:ind w:hanging="360" w:left="6469"/>
      </w:pPr>
      <w:rPr/>
    </w:lvl>
    <w:lvl w:ilvl="8" w:tplc="D61C6912">
      <w:start w:val="1"/>
      <w:numFmt w:val="bullet"/>
      <w:lvlText w:val="–"/>
      <w:lvlJc w:val="left"/>
      <w:pPr>
        <w:ind w:hanging="360" w:left="7189"/>
      </w:pPr>
      <w:rPr/>
    </w:lvl>
  </w:abstractNum>
  <w:abstractNum w15:restartNumberingAfterBreak="0" w:abstractNumId="30">
    <w:nsid w:val="72A917A3"/>
    <w:multiLevelType w:val="hybridMultilevel"/>
    <w:tmpl w:val="DEC8554C"/>
    <w:lvl w:ilvl="0" w:tplc="0419000F">
      <w:start w:val="1"/>
      <w:numFmt w:val="decimal"/>
      <w:lvlText w:val="%1."/>
      <w:lvlJc w:val="left"/>
      <w:pPr>
        <w:tabs>
          <w:tab w:pos="720" w:val="num"/>
        </w:tabs>
        <w:ind w:hanging="360" w:left="720"/>
      </w:pPr>
      <w:rPr>
        <w:b w:val="0"/>
        <w:bCs/>
        <w:sz w:val="28"/>
        <w:szCs w:val="28"/>
      </w:rPr>
    </w:lvl>
    <w:lvl w:ilvl="1" w:tplc="D9308948">
      <w:start w:val="1"/>
      <w:numFmt w:val="decimal"/>
      <w:lvlText w:val="%2."/>
      <w:lvlJc w:val="left"/>
      <w:pPr>
        <w:tabs>
          <w:tab w:pos="1440" w:val="num"/>
        </w:tabs>
        <w:ind w:hanging="360" w:left="1440"/>
      </w:pPr>
      <w:rPr>
        <w:rFonts w:ascii="Times New Roman" w:cs="Times New Roman" w:hAnsi="Times New Roman"/>
      </w:rPr>
    </w:lvl>
    <w:lvl w:ilvl="2" w:tplc="00E46646">
      <w:start w:val="1"/>
      <w:numFmt w:val="decimal"/>
      <w:lvlText w:val="%3."/>
      <w:lvlJc w:val="left"/>
      <w:pPr>
        <w:tabs>
          <w:tab w:pos="2160" w:val="num"/>
        </w:tabs>
        <w:ind w:hanging="360" w:left="2160"/>
      </w:pPr>
      <w:rPr>
        <w:rFonts w:ascii="Times New Roman" w:cs="Times New Roman" w:hAnsi="Times New Roman"/>
      </w:rPr>
    </w:lvl>
    <w:lvl w:ilvl="3" w:tplc="F8CAECC6">
      <w:start w:val="1"/>
      <w:numFmt w:val="decimal"/>
      <w:lvlText w:val="%4."/>
      <w:lvlJc w:val="left"/>
      <w:pPr>
        <w:tabs>
          <w:tab w:pos="2880" w:val="num"/>
        </w:tabs>
        <w:ind w:hanging="360" w:left="2880"/>
      </w:pPr>
      <w:rPr>
        <w:rFonts w:ascii="Times New Roman" w:cs="Times New Roman" w:hAnsi="Times New Roman"/>
      </w:rPr>
    </w:lvl>
    <w:lvl w:ilvl="4" w:tplc="F8E05AB6">
      <w:start w:val="1"/>
      <w:numFmt w:val="decimal"/>
      <w:lvlText w:val="%5."/>
      <w:lvlJc w:val="left"/>
      <w:pPr>
        <w:tabs>
          <w:tab w:pos="3600" w:val="num"/>
        </w:tabs>
        <w:ind w:hanging="360" w:left="3600"/>
      </w:pPr>
      <w:rPr>
        <w:rFonts w:ascii="Times New Roman" w:cs="Times New Roman" w:hAnsi="Times New Roman"/>
      </w:rPr>
    </w:lvl>
    <w:lvl w:ilvl="5" w:tplc="6540B9CE">
      <w:start w:val="1"/>
      <w:numFmt w:val="decimal"/>
      <w:lvlText w:val="%6."/>
      <w:lvlJc w:val="left"/>
      <w:pPr>
        <w:tabs>
          <w:tab w:pos="4320" w:val="num"/>
        </w:tabs>
        <w:ind w:hanging="360" w:left="4320"/>
      </w:pPr>
      <w:rPr>
        <w:rFonts w:ascii="Times New Roman" w:cs="Times New Roman" w:hAnsi="Times New Roman"/>
      </w:rPr>
    </w:lvl>
    <w:lvl w:ilvl="6" w:tplc="9F6C877E">
      <w:start w:val="1"/>
      <w:numFmt w:val="decimal"/>
      <w:lvlText w:val="%7."/>
      <w:lvlJc w:val="left"/>
      <w:pPr>
        <w:tabs>
          <w:tab w:pos="5040" w:val="num"/>
        </w:tabs>
        <w:ind w:hanging="360" w:left="5040"/>
      </w:pPr>
      <w:rPr>
        <w:rFonts w:ascii="Times New Roman" w:cs="Times New Roman" w:hAnsi="Times New Roman"/>
      </w:rPr>
    </w:lvl>
    <w:lvl w:ilvl="7" w:tplc="79AC4AC0">
      <w:start w:val="1"/>
      <w:numFmt w:val="decimal"/>
      <w:lvlText w:val="%8."/>
      <w:lvlJc w:val="left"/>
      <w:pPr>
        <w:tabs>
          <w:tab w:pos="5760" w:val="num"/>
        </w:tabs>
        <w:ind w:hanging="360" w:left="5760"/>
      </w:pPr>
      <w:rPr>
        <w:rFonts w:ascii="Times New Roman" w:cs="Times New Roman" w:hAnsi="Times New Roman"/>
      </w:rPr>
    </w:lvl>
    <w:lvl w:ilvl="8" w:tplc="2E54C71C">
      <w:start w:val="1"/>
      <w:numFmt w:val="decimal"/>
      <w:lvlText w:val="%9."/>
      <w:lvlJc w:val="left"/>
      <w:pPr>
        <w:tabs>
          <w:tab w:pos="6480" w:val="num"/>
        </w:tabs>
        <w:ind w:hanging="360" w:left="6480"/>
      </w:pPr>
      <w:rPr>
        <w:rFonts w:ascii="Times New Roman" w:cs="Times New Roman" w:hAnsi="Times New Roman"/>
      </w:rPr>
    </w:lvl>
  </w:abstractNum>
  <w:abstractNum w15:restartNumberingAfterBreak="0" w:abstractNumId="31">
    <w:nsid w:val="743B59A7"/>
    <w:multiLevelType w:val="hybridMultilevel"/>
    <w:tmpl w:val="548CF2A6"/>
    <w:lvl w:ilvl="0" w:tplc="501C9D8A">
      <w:start w:val="1"/>
      <w:numFmt w:val="bullet"/>
      <w:lvlText w:val="–"/>
      <w:lvlJc w:val="left"/>
      <w:pPr>
        <w:ind w:hanging="360" w:left="1417"/>
      </w:pPr>
      <w:rPr/>
    </w:lvl>
    <w:lvl w:ilvl="1" w:tplc="5A3645D0">
      <w:start w:val="1"/>
      <w:numFmt w:val="bullet"/>
      <w:lvlText w:val="–"/>
      <w:lvlJc w:val="left"/>
      <w:pPr>
        <w:ind w:hanging="360" w:left="2137"/>
      </w:pPr>
      <w:rPr/>
    </w:lvl>
    <w:lvl w:ilvl="2" w:tplc="9934C53C">
      <w:start w:val="1"/>
      <w:numFmt w:val="bullet"/>
      <w:lvlText w:val="–"/>
      <w:lvlJc w:val="left"/>
      <w:pPr>
        <w:ind w:hanging="360" w:left="2857"/>
      </w:pPr>
      <w:rPr/>
    </w:lvl>
    <w:lvl w:ilvl="3" w:tplc="2BB63E3A">
      <w:start w:val="1"/>
      <w:numFmt w:val="bullet"/>
      <w:lvlText w:val="–"/>
      <w:lvlJc w:val="left"/>
      <w:pPr>
        <w:ind w:hanging="360" w:left="3577"/>
      </w:pPr>
      <w:rPr/>
    </w:lvl>
    <w:lvl w:ilvl="4" w:tplc="9B581FA4">
      <w:start w:val="1"/>
      <w:numFmt w:val="bullet"/>
      <w:lvlText w:val="–"/>
      <w:lvlJc w:val="left"/>
      <w:pPr>
        <w:ind w:hanging="360" w:left="4297"/>
      </w:pPr>
      <w:rPr/>
    </w:lvl>
    <w:lvl w:ilvl="5" w:tplc="1CA67838">
      <w:start w:val="1"/>
      <w:numFmt w:val="bullet"/>
      <w:lvlText w:val="–"/>
      <w:lvlJc w:val="left"/>
      <w:pPr>
        <w:ind w:hanging="360" w:left="5017"/>
      </w:pPr>
      <w:rPr/>
    </w:lvl>
    <w:lvl w:ilvl="6" w:tplc="731A2F76">
      <w:start w:val="1"/>
      <w:numFmt w:val="bullet"/>
      <w:lvlText w:val="–"/>
      <w:lvlJc w:val="left"/>
      <w:pPr>
        <w:ind w:hanging="360" w:left="5737"/>
      </w:pPr>
      <w:rPr/>
    </w:lvl>
    <w:lvl w:ilvl="7" w:tplc="2B6633CA">
      <w:start w:val="1"/>
      <w:numFmt w:val="bullet"/>
      <w:lvlText w:val="–"/>
      <w:lvlJc w:val="left"/>
      <w:pPr>
        <w:ind w:hanging="360" w:left="6457"/>
      </w:pPr>
      <w:rPr/>
    </w:lvl>
    <w:lvl w:ilvl="8" w:tplc="3DDCA370">
      <w:start w:val="1"/>
      <w:numFmt w:val="bullet"/>
      <w:lvlText w:val="–"/>
      <w:lvlJc w:val="left"/>
      <w:pPr>
        <w:ind w:hanging="360" w:left="7177"/>
      </w:pPr>
      <w:rPr/>
    </w:lvl>
  </w:abstractNum>
  <w:abstractNum w15:restartNumberingAfterBreak="0" w:abstractNumId="32">
    <w:nsid w:val="7551683C"/>
    <w:multiLevelType w:val="hybridMultilevel"/>
    <w:tmpl w:val="29B44384"/>
    <w:lvl w:ilvl="0" w:tplc="988258EA">
      <w:start w:val="1"/>
      <w:numFmt w:val="bullet"/>
      <w:lvlText w:val="–"/>
      <w:lvlJc w:val="left"/>
      <w:pPr>
        <w:ind w:hanging="360" w:left="1069"/>
      </w:pPr>
      <w:rPr/>
    </w:lvl>
    <w:lvl w:ilvl="1" w:tplc="94308646">
      <w:start w:val="1"/>
      <w:numFmt w:val="bullet"/>
      <w:lvlText w:val="–"/>
      <w:lvlJc w:val="left"/>
      <w:pPr>
        <w:ind w:hanging="360" w:left="1789"/>
      </w:pPr>
      <w:rPr/>
    </w:lvl>
    <w:lvl w:ilvl="2" w:tplc="D346A4E8">
      <w:start w:val="1"/>
      <w:numFmt w:val="bullet"/>
      <w:lvlText w:val="–"/>
      <w:lvlJc w:val="left"/>
      <w:pPr>
        <w:ind w:hanging="360" w:left="2509"/>
      </w:pPr>
      <w:rPr/>
    </w:lvl>
    <w:lvl w:ilvl="3" w:tplc="D542C180">
      <w:start w:val="1"/>
      <w:numFmt w:val="bullet"/>
      <w:lvlText w:val="–"/>
      <w:lvlJc w:val="left"/>
      <w:pPr>
        <w:ind w:hanging="360" w:left="3229"/>
      </w:pPr>
      <w:rPr/>
    </w:lvl>
    <w:lvl w:ilvl="4" w:tplc="E542B47E">
      <w:start w:val="1"/>
      <w:numFmt w:val="bullet"/>
      <w:lvlText w:val="–"/>
      <w:lvlJc w:val="left"/>
      <w:pPr>
        <w:ind w:hanging="360" w:left="3949"/>
      </w:pPr>
      <w:rPr/>
    </w:lvl>
    <w:lvl w:ilvl="5" w:tplc="FDEAB31C">
      <w:start w:val="1"/>
      <w:numFmt w:val="bullet"/>
      <w:lvlText w:val="–"/>
      <w:lvlJc w:val="left"/>
      <w:pPr>
        <w:ind w:hanging="360" w:left="4669"/>
      </w:pPr>
      <w:rPr/>
    </w:lvl>
    <w:lvl w:ilvl="6" w:tplc="E056D5D2">
      <w:start w:val="1"/>
      <w:numFmt w:val="bullet"/>
      <w:lvlText w:val="–"/>
      <w:lvlJc w:val="left"/>
      <w:pPr>
        <w:ind w:hanging="360" w:left="5389"/>
      </w:pPr>
      <w:rPr/>
    </w:lvl>
    <w:lvl w:ilvl="7" w:tplc="7CF652A4">
      <w:start w:val="1"/>
      <w:numFmt w:val="bullet"/>
      <w:lvlText w:val="–"/>
      <w:lvlJc w:val="left"/>
      <w:pPr>
        <w:ind w:hanging="360" w:left="6109"/>
      </w:pPr>
      <w:rPr/>
    </w:lvl>
    <w:lvl w:ilvl="8" w:tplc="B0A661D6">
      <w:start w:val="1"/>
      <w:numFmt w:val="bullet"/>
      <w:lvlText w:val="–"/>
      <w:lvlJc w:val="left"/>
      <w:pPr>
        <w:ind w:hanging="360" w:left="6829"/>
      </w:pPr>
      <w:rPr/>
    </w:lvl>
  </w:abstractNum>
  <w:abstractNum w15:restartNumberingAfterBreak="0" w:abstractNumId="33">
    <w:nsid w:val="7C4826F8"/>
    <w:multiLevelType w:val="multilevel"/>
    <w:tmpl w:val="6B6A1AC8"/>
    <w:lvl w:ilvl="0">
      <w:start w:val="1"/>
      <w:numFmt w:val="decimal"/>
      <w:lvlText w:val="%1."/>
      <w:lvlJc w:val="left"/>
      <w:pPr>
        <w:ind w:hanging="360" w:left="360"/>
      </w:pPr>
      <w:rPr>
        <w:color w:val="000000"/>
        <w:sz w:val="28"/>
        <w:szCs w:val="28"/>
      </w:rPr>
    </w:lvl>
    <w:lvl w:ilvl="1">
      <w:start w:val="1"/>
      <w:numFmt w:val="decimal"/>
      <w:lvlText w:val="%1.%2."/>
      <w:lvlJc w:val="left"/>
      <w:pPr>
        <w:ind w:hanging="432" w:left="792"/>
      </w:pPr>
      <w:rPr>
        <w:sz w:val="28"/>
        <w:szCs w:val="28"/>
      </w:r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15:restartNumberingAfterBreak="0" w:abstractNumId="34">
    <w:nsid w:val="7C64607D"/>
    <w:multiLevelType w:val="hybridMultilevel"/>
    <w:tmpl w:val="BB040C1C"/>
    <w:lvl w:ilvl="0" w:tplc="DCBEF99E">
      <w:start w:val="1"/>
      <w:numFmt w:val="decimal"/>
      <w:lvlText w:val="%1."/>
      <w:lvlJc w:val="left"/>
      <w:pPr>
        <w:ind w:hanging="360" w:left="720"/>
      </w:pPr>
      <w:rPr>
        <w:rFonts w:ascii="Times New Roman" w:cs="Times New Roman" w:eastAsia="Times New Roman" w:hAnsi="Times New Roman"/>
      </w:rPr>
    </w:lvl>
    <w:lvl w:ilvl="1" w:tplc="EBC6A1CE">
      <w:start w:val="1"/>
      <w:numFmt w:val="lowerLetter"/>
      <w:lvlText w:val="%2."/>
      <w:lvlJc w:val="left"/>
      <w:pPr>
        <w:ind w:hanging="360" w:left="1440"/>
      </w:pPr>
    </w:lvl>
    <w:lvl w:ilvl="2" w:tplc="C7849610">
      <w:start w:val="1"/>
      <w:numFmt w:val="lowerRoman"/>
      <w:lvlText w:val="%3."/>
      <w:lvlJc w:val="right"/>
      <w:pPr>
        <w:ind w:hanging="180" w:left="2160"/>
      </w:pPr>
    </w:lvl>
    <w:lvl w:ilvl="3" w:tplc="66FA23E6">
      <w:start w:val="1"/>
      <w:numFmt w:val="decimal"/>
      <w:lvlText w:val="%4."/>
      <w:lvlJc w:val="left"/>
      <w:pPr>
        <w:ind w:hanging="360" w:left="2880"/>
      </w:pPr>
    </w:lvl>
    <w:lvl w:ilvl="4" w:tplc="A0C2D6CA">
      <w:start w:val="1"/>
      <w:numFmt w:val="lowerLetter"/>
      <w:lvlText w:val="%5."/>
      <w:lvlJc w:val="left"/>
      <w:pPr>
        <w:ind w:hanging="360" w:left="3600"/>
      </w:pPr>
    </w:lvl>
    <w:lvl w:ilvl="5" w:tplc="B0821022">
      <w:start w:val="1"/>
      <w:numFmt w:val="lowerRoman"/>
      <w:lvlText w:val="%6."/>
      <w:lvlJc w:val="right"/>
      <w:pPr>
        <w:ind w:hanging="180" w:left="4320"/>
      </w:pPr>
    </w:lvl>
    <w:lvl w:ilvl="6" w:tplc="5E44E3EE">
      <w:start w:val="1"/>
      <w:numFmt w:val="decimal"/>
      <w:lvlText w:val="%7."/>
      <w:lvlJc w:val="left"/>
      <w:pPr>
        <w:ind w:hanging="360" w:left="5040"/>
      </w:pPr>
    </w:lvl>
    <w:lvl w:ilvl="7" w:tplc="ABCE7A5C">
      <w:start w:val="1"/>
      <w:numFmt w:val="lowerLetter"/>
      <w:lvlText w:val="%8."/>
      <w:lvlJc w:val="left"/>
      <w:pPr>
        <w:ind w:hanging="360" w:left="5760"/>
      </w:pPr>
    </w:lvl>
    <w:lvl w:ilvl="8" w:tplc="8ACE932E">
      <w:start w:val="1"/>
      <w:numFmt w:val="lowerRoman"/>
      <w:lvlText w:val="%9."/>
      <w:lvlJc w:val="right"/>
      <w:pPr>
        <w:ind w:hanging="180" w:left="6480"/>
      </w:pPr>
    </w:lvl>
  </w:abstractNum>
  <w:abstractNum w15:restartNumberingAfterBreak="0" w:abstractNumId="35">
    <w:nsid w:val="7D2F3E07"/>
    <w:multiLevelType w:val="hybridMultilevel"/>
    <w:tmpl w:val="A420F184"/>
    <w:lvl w:ilvl="0" w:tplc="F6E2FF98">
      <w:start w:val="1"/>
      <w:numFmt w:val="decimal"/>
      <w:lvlText w:val="%1."/>
      <w:lvlJc w:val="left"/>
      <w:pPr>
        <w:ind w:hanging="360" w:left="1429"/>
      </w:pPr>
    </w:lvl>
    <w:lvl w:ilvl="1" w:tplc="2632AB8E">
      <w:start w:val="1"/>
      <w:numFmt w:val="lowerLetter"/>
      <w:lvlText w:val="%2."/>
      <w:lvlJc w:val="left"/>
      <w:pPr>
        <w:ind w:hanging="360" w:left="2149"/>
      </w:pPr>
    </w:lvl>
    <w:lvl w:ilvl="2" w:tplc="11F4FA9C">
      <w:start w:val="1"/>
      <w:numFmt w:val="lowerRoman"/>
      <w:lvlText w:val="%3."/>
      <w:lvlJc w:val="right"/>
      <w:pPr>
        <w:ind w:hanging="180" w:left="2869"/>
      </w:pPr>
    </w:lvl>
    <w:lvl w:ilvl="3" w:tplc="FA08D03C">
      <w:start w:val="1"/>
      <w:numFmt w:val="decimal"/>
      <w:lvlText w:val="%4."/>
      <w:lvlJc w:val="left"/>
      <w:pPr>
        <w:ind w:hanging="360" w:left="3589"/>
      </w:pPr>
    </w:lvl>
    <w:lvl w:ilvl="4" w:tplc="1FF4478E">
      <w:start w:val="1"/>
      <w:numFmt w:val="lowerLetter"/>
      <w:lvlText w:val="%5."/>
      <w:lvlJc w:val="left"/>
      <w:pPr>
        <w:ind w:hanging="360" w:left="4309"/>
      </w:pPr>
    </w:lvl>
    <w:lvl w:ilvl="5" w:tplc="878EC21E">
      <w:start w:val="1"/>
      <w:numFmt w:val="lowerRoman"/>
      <w:lvlText w:val="%6."/>
      <w:lvlJc w:val="right"/>
      <w:pPr>
        <w:ind w:hanging="180" w:left="5029"/>
      </w:pPr>
    </w:lvl>
    <w:lvl w:ilvl="6" w:tplc="7AB00DE8">
      <w:start w:val="1"/>
      <w:numFmt w:val="decimal"/>
      <w:lvlText w:val="%7."/>
      <w:lvlJc w:val="left"/>
      <w:pPr>
        <w:ind w:hanging="360" w:left="5749"/>
      </w:pPr>
    </w:lvl>
    <w:lvl w:ilvl="7" w:tplc="F2288C0E">
      <w:start w:val="1"/>
      <w:numFmt w:val="lowerLetter"/>
      <w:lvlText w:val="%8."/>
      <w:lvlJc w:val="left"/>
      <w:pPr>
        <w:ind w:hanging="360" w:left="6469"/>
      </w:pPr>
    </w:lvl>
    <w:lvl w:ilvl="8" w:tplc="7A1E7412">
      <w:start w:val="1"/>
      <w:numFmt w:val="lowerRoman"/>
      <w:lvlText w:val="%9."/>
      <w:lvlJc w:val="right"/>
      <w:pPr>
        <w:ind w:hanging="180" w:left="7189"/>
      </w:pPr>
    </w:lvl>
  </w:abstractNum>
  <w:abstractNum w15:restartNumberingAfterBreak="0" w:abstractNumId="36">
    <w:nsid w:val="7E0C5A53"/>
    <w:multiLevelType w:val="hybridMultilevel"/>
    <w:tmpl w:val="B2C26D6C"/>
    <w:lvl w:ilvl="0" w:tplc="0419000F">
      <w:start w:val="1"/>
      <w:numFmt w:val="decimal"/>
      <w:lvlText w:val="%1."/>
      <w:lvlJc w:val="left"/>
      <w:pPr>
        <w:ind w:hanging="360" w:left="1080"/>
      </w:pPr>
    </w:lvl>
    <w:lvl w:ilvl="1" w:tentative="1" w:tplc="04190019">
      <w:start w:val="1"/>
      <w:numFmt w:val="lowerLetter"/>
      <w:lvlText w:val="%2."/>
      <w:lvlJc w:val="left"/>
      <w:pPr>
        <w:ind w:hanging="360" w:left="1800"/>
      </w:pPr>
    </w:lvl>
    <w:lvl w:ilvl="2" w:tentative="1" w:tplc="0419001B">
      <w:start w:val="1"/>
      <w:numFmt w:val="lowerRoman"/>
      <w:lvlText w:val="%3."/>
      <w:lvlJc w:val="right"/>
      <w:pPr>
        <w:ind w:hanging="180" w:left="2520"/>
      </w:pPr>
    </w:lvl>
    <w:lvl w:ilvl="3" w:tentative="1" w:tplc="0419000F">
      <w:start w:val="1"/>
      <w:numFmt w:val="decimal"/>
      <w:lvlText w:val="%4."/>
      <w:lvlJc w:val="left"/>
      <w:pPr>
        <w:ind w:hanging="360" w:left="3240"/>
      </w:pPr>
    </w:lvl>
    <w:lvl w:ilvl="4" w:tentative="1" w:tplc="04190019">
      <w:start w:val="1"/>
      <w:numFmt w:val="lowerLetter"/>
      <w:lvlText w:val="%5."/>
      <w:lvlJc w:val="left"/>
      <w:pPr>
        <w:ind w:hanging="360" w:left="3960"/>
      </w:pPr>
    </w:lvl>
    <w:lvl w:ilvl="5" w:tentative="1" w:tplc="0419001B">
      <w:start w:val="1"/>
      <w:numFmt w:val="lowerRoman"/>
      <w:lvlText w:val="%6."/>
      <w:lvlJc w:val="right"/>
      <w:pPr>
        <w:ind w:hanging="180" w:left="4680"/>
      </w:pPr>
    </w:lvl>
    <w:lvl w:ilvl="6" w:tentative="1" w:tplc="0419000F">
      <w:start w:val="1"/>
      <w:numFmt w:val="decimal"/>
      <w:lvlText w:val="%7."/>
      <w:lvlJc w:val="left"/>
      <w:pPr>
        <w:ind w:hanging="360" w:left="5400"/>
      </w:pPr>
    </w:lvl>
    <w:lvl w:ilvl="7" w:tentative="1" w:tplc="04190019">
      <w:start w:val="1"/>
      <w:numFmt w:val="lowerLetter"/>
      <w:lvlText w:val="%8."/>
      <w:lvlJc w:val="left"/>
      <w:pPr>
        <w:ind w:hanging="360" w:left="6120"/>
      </w:pPr>
    </w:lvl>
    <w:lvl w:ilvl="8" w:tentative="1" w:tplc="0419001B">
      <w:start w:val="1"/>
      <w:numFmt w:val="lowerRoman"/>
      <w:lvlText w:val="%9."/>
      <w:lvlJc w:val="right"/>
      <w:pPr>
        <w:ind w:hanging="180" w:left="6840"/>
      </w:pPr>
    </w:lvl>
  </w:abstractNum>
  <w:abstractNum w:abstractNumId="990">
    <w:nsid w:val="0000A990"/>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1">
    <w:nsid w:val="0000A991"/>
    <w:multiLevelType w:val="multilevel"/>
    <w:lvl w:ilvl="0">
      <w:numFmt w:val="bullet"/>
      <w:lvlText w:val="–"/>
      <w:lvlJc w:val="left"/>
      <w:pPr>
        <w:ind w:left="720" w:hanging="360"/>
      </w:pPr>
      <w:rPr/>
    </w:lvl>
    <w:lvl w:ilvl="1">
      <w:numFmt w:val="bullet"/>
      <w:lvlText w:val="–"/>
      <w:lvlJc w:val="left"/>
      <w:pPr>
        <w:ind w:left="1440" w:hanging="360"/>
      </w:pPr>
      <w:rPr/>
    </w:lvl>
    <w:lvl w:ilvl="2">
      <w:numFmt w:val="bullet"/>
      <w:lvlText w:val="–"/>
      <w:lvlJc w:val="left"/>
      <w:pPr>
        <w:ind w:left="2160" w:hanging="360"/>
      </w:pPr>
      <w:rPr/>
    </w:lvl>
    <w:lvl w:ilvl="3">
      <w:numFmt w:val="bullet"/>
      <w:lvlText w:val="–"/>
      <w:lvlJc w:val="left"/>
      <w:pPr>
        <w:ind w:left="2880" w:hanging="360"/>
      </w:pPr>
      <w:rPr/>
    </w:lvl>
    <w:lvl w:ilvl="4">
      <w:numFmt w:val="bullet"/>
      <w:lvlText w:val="–"/>
      <w:lvlJc w:val="left"/>
      <w:pPr>
        <w:ind w:left="3600" w:hanging="360"/>
      </w:pPr>
      <w:rPr/>
    </w:lvl>
    <w:lvl w:ilvl="5">
      <w:numFmt w:val="bullet"/>
      <w:lvlText w:val="–"/>
      <w:lvlJc w:val="left"/>
      <w:pPr>
        <w:ind w:left="4320" w:hanging="360"/>
      </w:pPr>
      <w:rPr/>
    </w:lvl>
    <w:lvl w:ilvl="6">
      <w:numFmt w:val="bullet"/>
      <w:lvlText w:val="–"/>
      <w:lvlJc w:val="left"/>
      <w:pPr>
        <w:ind w:left="5040" w:hanging="360"/>
      </w:pPr>
      <w:rPr/>
    </w:lvl>
    <w:lvl w:ilvl="7">
      <w:numFmt w:val="bullet"/>
      <w:lvlText w:val="–"/>
      <w:lvlJc w:val="left"/>
      <w:pPr>
        <w:ind w:left="5760" w:hanging="360"/>
      </w:pPr>
      <w:rPr/>
    </w:lvl>
    <w:lvl w:ilvl="8">
      <w:numFmt w:val="bullet"/>
      <w:lvlText w:val="–"/>
      <w:lvlJc w:val="left"/>
      <w:pPr>
        <w:ind w:left="6480" w:hanging="360"/>
      </w:pPr>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5"/>
  </w:num>
  <w:num w:numId="2">
    <w:abstractNumId w:val="27"/>
  </w:num>
  <w:num w:numId="3">
    <w:abstractNumId w:val="33"/>
  </w:num>
  <w:num w:numId="4">
    <w:abstractNumId w:val="14"/>
  </w:num>
  <w:num w:numId="5">
    <w:abstractNumId w:val="30"/>
  </w:num>
  <w:num w:numId="6">
    <w:abstractNumId w:val="4"/>
  </w:num>
  <w:num w:numId="7">
    <w:abstractNumId w:val="6"/>
  </w:num>
  <w:num w:numId="8">
    <w:abstractNumId w:val="22"/>
  </w:num>
  <w:num w:numId="9">
    <w:abstractNumId w:val="32"/>
  </w:num>
  <w:num w:numId="10">
    <w:abstractNumId w:val="11"/>
  </w:num>
  <w:num w:numId="11">
    <w:abstractNumId w:val="20"/>
  </w:num>
  <w:num w:numId="12">
    <w:abstractNumId w:val="31"/>
  </w:num>
  <w:num w:numId="13">
    <w:abstractNumId w:val="12"/>
  </w:num>
  <w:num w:numId="14">
    <w:abstractNumId w:val="9"/>
  </w:num>
  <w:num w:numId="15">
    <w:abstractNumId w:val="19"/>
  </w:num>
  <w:num w:numId="16">
    <w:abstractNumId w:val="15"/>
  </w:num>
  <w:num w:numId="17">
    <w:abstractNumId w:val="1"/>
  </w:num>
  <w:num w:numId="18">
    <w:abstractNumId w:val="17"/>
  </w:num>
  <w:num w:numId="19">
    <w:abstractNumId w:val="29"/>
  </w:num>
  <w:num w:numId="20">
    <w:abstractNumId w:val="13"/>
  </w:num>
  <w:num w:numId="21">
    <w:abstractNumId w:val="3"/>
  </w:num>
  <w:num w:numId="22">
    <w:abstractNumId w:val="28"/>
  </w:num>
  <w:num w:numId="23">
    <w:abstractNumId w:val="10"/>
  </w:num>
  <w:num w:numId="24">
    <w:abstractNumId w:val="25"/>
  </w:num>
  <w:num w:numId="25">
    <w:abstractNumId w:val="24"/>
  </w:num>
  <w:num w:numId="26">
    <w:abstractNumId w:val="36"/>
  </w:num>
  <w:num w:numId="27">
    <w:abstractNumId w:val="7"/>
  </w:num>
  <w:num w:numId="28">
    <w:abstractNumId w:val="5"/>
  </w:num>
  <w:num w:numId="29">
    <w:abstractNumId w:val="2"/>
  </w:num>
  <w:num w:numId="30">
    <w:abstractNumId w:val="26"/>
  </w:num>
  <w:num w:numId="31">
    <w:abstractNumId w:val="8"/>
  </w:num>
  <w:num w:numId="32">
    <w:abstractNumId w:val="18"/>
  </w:num>
  <w:num w:numId="33">
    <w:abstractNumId w:val="23"/>
  </w:num>
  <w:num w:numId="34">
    <w:abstractNumId w:val="0"/>
  </w:num>
  <w:num w:numId="35">
    <w:abstractNumId w:val="34"/>
  </w:num>
  <w:num w:numId="36">
    <w:abstractNumId w:val="16"/>
  </w:num>
  <w:num w:numId="37">
    <w:abstractNumId w:val="21"/>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updateFields w:val="true"/>
  <w:zoom w:percent="100"/>
  <w:embedSystemFonts/>
  <w:proofState w:grammar="clean" w:spelling="clean"/>
  <w:stylePaneFormatFilter w:val="0004"/>
  <w:doNotTrackMoves/>
  <w:defaultTabStop w:val="708"/>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274B"/>
    <w:rsid w:val="00016F32"/>
    <w:rsid w:val="00066277"/>
    <w:rsid w:val="000867D6"/>
    <w:rsid w:val="000C3306"/>
    <w:rsid w:val="000D1181"/>
    <w:rsid w:val="000E58AF"/>
    <w:rsid w:val="0014130C"/>
    <w:rsid w:val="001F2404"/>
    <w:rsid w:val="00207503"/>
    <w:rsid w:val="0036790C"/>
    <w:rsid w:val="003F564B"/>
    <w:rsid w:val="00436061"/>
    <w:rsid w:val="004A34EB"/>
    <w:rsid w:val="004D2537"/>
    <w:rsid w:val="004E415C"/>
    <w:rsid w:val="004E5168"/>
    <w:rsid w:val="00525D56"/>
    <w:rsid w:val="005E37F2"/>
    <w:rsid w:val="005F452B"/>
    <w:rsid w:val="00603534"/>
    <w:rsid w:val="006126F9"/>
    <w:rsid w:val="00696842"/>
    <w:rsid w:val="006A4D6C"/>
    <w:rsid w:val="006A6240"/>
    <w:rsid w:val="006A7589"/>
    <w:rsid w:val="006C733A"/>
    <w:rsid w:val="006E54DC"/>
    <w:rsid w:val="0074030F"/>
    <w:rsid w:val="00780556"/>
    <w:rsid w:val="00822806"/>
    <w:rsid w:val="008443CE"/>
    <w:rsid w:val="00866A4D"/>
    <w:rsid w:val="00881340"/>
    <w:rsid w:val="008B0132"/>
    <w:rsid w:val="0094306A"/>
    <w:rsid w:val="009571A8"/>
    <w:rsid w:val="00BB195E"/>
    <w:rsid w:val="00BB42E1"/>
    <w:rsid w:val="00BD0760"/>
    <w:rsid w:val="00BE5F40"/>
    <w:rsid w:val="00C15393"/>
    <w:rsid w:val="00C332D0"/>
    <w:rsid w:val="00C629ED"/>
    <w:rsid w:val="00CF7A44"/>
    <w:rsid w:val="00D0274B"/>
    <w:rsid w:val="00D7611E"/>
    <w:rsid w:val="00DB2376"/>
    <w:rsid w:val="00E16B34"/>
    <w:rsid w:val="00E9782B"/>
    <w:rsid w:val="00EC1C3C"/>
    <w:rsid w:val="00F06ACA"/>
    <w:rsid w:val="00F06F9E"/>
    <w:rsid w:val="00F75F04"/>
    <w:rsid w:val="00F800B4"/>
    <w:rsid w:val="00FD47DE"/>
    <w:rsid w:val="00FD658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Calibri" w:cs="Times New Roman" w:eastAsia="Calibri" w:hAnsi="Calibri"/>
        <w:lang w:bidi="ar-SA" w:eastAsia="ru-RU" w:val="ru-RU"/>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a" w:type="paragraph">
    <w:name w:val="Normal"/>
    <w:qFormat/>
    <w:rsid w:val="006A7589"/>
    <w:pPr>
      <w:spacing w:line="360" w:lineRule="auto"/>
      <w:ind w:firstLine="709"/>
      <w:jc w:val="both"/>
    </w:pPr>
    <w:rPr>
      <w:rFonts w:ascii="Times New Roman" w:hAnsi="Times New Roman"/>
      <w:sz w:val="28"/>
      <w:szCs w:val="22"/>
      <w:lang w:eastAsia="en-US"/>
    </w:rPr>
  </w:style>
  <w:style w:styleId="1" w:type="paragraph">
    <w:name w:val="heading 1"/>
    <w:basedOn w:val="a"/>
    <w:next w:val="a"/>
    <w:link w:val="10"/>
    <w:uiPriority w:val="9"/>
    <w:qFormat/>
    <w:rsid w:val="006E54DC"/>
    <w:pPr>
      <w:pageBreakBefore/>
      <w:keepNext/>
      <w:keepLines/>
      <w:spacing w:before="240"/>
      <w:outlineLvl w:val="0"/>
    </w:pPr>
    <w:rPr>
      <w:rFonts w:eastAsia="Times New Roman"/>
      <w:b/>
      <w:szCs w:val="32"/>
    </w:rPr>
  </w:style>
  <w:style w:styleId="2" w:type="paragraph">
    <w:name w:val="heading 2"/>
    <w:basedOn w:val="a"/>
    <w:next w:val="a"/>
    <w:link w:val="20"/>
    <w:uiPriority w:val="9"/>
    <w:unhideWhenUsed/>
    <w:qFormat/>
    <w:pPr>
      <w:keepNext/>
      <w:keepLines/>
      <w:spacing w:before="360"/>
      <w:outlineLvl w:val="1"/>
    </w:pPr>
    <w:rPr>
      <w:rFonts w:cs="Arial" w:eastAsia="Arial"/>
      <w:b/>
    </w:rPr>
  </w:style>
  <w:style w:styleId="3" w:type="paragraph">
    <w:name w:val="heading 3"/>
    <w:basedOn w:val="a"/>
    <w:next w:val="a"/>
    <w:link w:val="30"/>
    <w:uiPriority w:val="9"/>
    <w:unhideWhenUsed/>
    <w:qFormat/>
    <w:pPr>
      <w:keepNext/>
      <w:keepLines/>
      <w:spacing w:before="320"/>
      <w:outlineLvl w:val="2"/>
    </w:pPr>
    <w:rPr>
      <w:rFonts w:cs="Arial" w:eastAsia="Arial"/>
      <w:b/>
      <w:szCs w:val="30"/>
    </w:rPr>
  </w:style>
  <w:style w:styleId="4" w:type="paragraph">
    <w:name w:val="heading 4"/>
    <w:basedOn w:val="a"/>
    <w:next w:val="a"/>
    <w:link w:val="40"/>
    <w:uiPriority w:val="9"/>
    <w:unhideWhenUsed/>
    <w:qFormat/>
    <w:pPr>
      <w:keepNext/>
      <w:keepLines/>
      <w:spacing w:after="200" w:before="320"/>
      <w:outlineLvl w:val="3"/>
    </w:pPr>
    <w:rPr>
      <w:rFonts w:ascii="Arial" w:cs="Arial" w:eastAsia="Arial" w:hAnsi="Arial"/>
      <w:b/>
      <w:bCs/>
      <w:sz w:val="26"/>
      <w:szCs w:val="26"/>
    </w:rPr>
  </w:style>
  <w:style w:styleId="5" w:type="paragraph">
    <w:name w:val="heading 5"/>
    <w:basedOn w:val="a"/>
    <w:next w:val="a"/>
    <w:link w:val="50"/>
    <w:uiPriority w:val="9"/>
    <w:unhideWhenUsed/>
    <w:qFormat/>
    <w:pPr>
      <w:keepNext/>
      <w:keepLines/>
      <w:spacing w:after="200" w:before="320"/>
      <w:outlineLvl w:val="4"/>
    </w:pPr>
    <w:rPr>
      <w:rFonts w:ascii="Arial" w:cs="Arial" w:eastAsia="Arial" w:hAnsi="Arial"/>
      <w:b/>
      <w:bCs/>
      <w:sz w:val="24"/>
      <w:szCs w:val="24"/>
    </w:rPr>
  </w:style>
  <w:style w:styleId="6" w:type="paragraph">
    <w:name w:val="heading 6"/>
    <w:basedOn w:val="a"/>
    <w:next w:val="a"/>
    <w:link w:val="60"/>
    <w:uiPriority w:val="9"/>
    <w:unhideWhenUsed/>
    <w:qFormat/>
    <w:pPr>
      <w:keepNext/>
      <w:keepLines/>
      <w:spacing w:after="200" w:before="320"/>
      <w:outlineLvl w:val="5"/>
    </w:pPr>
    <w:rPr>
      <w:rFonts w:ascii="Arial" w:cs="Arial" w:eastAsia="Arial" w:hAnsi="Arial"/>
      <w:b/>
      <w:bCs/>
    </w:rPr>
  </w:style>
  <w:style w:styleId="7" w:type="paragraph">
    <w:name w:val="heading 7"/>
    <w:basedOn w:val="a"/>
    <w:next w:val="a"/>
    <w:link w:val="70"/>
    <w:uiPriority w:val="9"/>
    <w:unhideWhenUsed/>
    <w:qFormat/>
    <w:pPr>
      <w:keepNext/>
      <w:keepLines/>
      <w:spacing w:after="200" w:before="320"/>
      <w:outlineLvl w:val="6"/>
    </w:pPr>
    <w:rPr>
      <w:rFonts w:ascii="Arial" w:cs="Arial" w:eastAsia="Arial" w:hAnsi="Arial"/>
      <w:b/>
      <w:bCs/>
      <w:i/>
      <w:iCs/>
    </w:rPr>
  </w:style>
  <w:style w:styleId="8" w:type="paragraph">
    <w:name w:val="heading 8"/>
    <w:basedOn w:val="a"/>
    <w:next w:val="a"/>
    <w:link w:val="80"/>
    <w:uiPriority w:val="9"/>
    <w:unhideWhenUsed/>
    <w:qFormat/>
    <w:pPr>
      <w:keepNext/>
      <w:keepLines/>
      <w:spacing w:after="200" w:before="320"/>
      <w:outlineLvl w:val="7"/>
    </w:pPr>
    <w:rPr>
      <w:rFonts w:ascii="Arial" w:cs="Arial" w:eastAsia="Arial" w:hAnsi="Arial"/>
      <w:i/>
      <w:iCs/>
    </w:rPr>
  </w:style>
  <w:style w:styleId="9" w:type="paragraph">
    <w:name w:val="heading 9"/>
    <w:basedOn w:val="a"/>
    <w:next w:val="a"/>
    <w:link w:val="90"/>
    <w:uiPriority w:val="9"/>
    <w:unhideWhenUsed/>
    <w:qFormat/>
    <w:pPr>
      <w:keepNext/>
      <w:keepLines/>
      <w:spacing w:after="200" w:before="320"/>
      <w:outlineLvl w:val="8"/>
    </w:pPr>
    <w:rPr>
      <w:rFonts w:ascii="Arial" w:cs="Arial" w:eastAsia="Arial" w:hAnsi="Arial"/>
      <w:i/>
      <w:iCs/>
      <w:sz w:val="21"/>
      <w:szCs w:val="21"/>
    </w:rPr>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 w:customStyle="1" w:styleId="Heading1Char" w:type="character">
    <w:name w:val="Heading 1 Char"/>
    <w:uiPriority w:val="9"/>
    <w:rPr>
      <w:rFonts w:ascii="Arial" w:cs="Arial" w:eastAsia="Arial" w:hAnsi="Arial"/>
      <w:sz w:val="40"/>
      <w:szCs w:val="40"/>
    </w:rPr>
  </w:style>
  <w:style w:customStyle="1" w:styleId="20" w:type="character">
    <w:name w:val="Заголовок 2 Знак"/>
    <w:link w:val="2"/>
    <w:uiPriority w:val="9"/>
    <w:rPr>
      <w:rFonts w:ascii="Arial" w:cs="Arial" w:eastAsia="Arial" w:hAnsi="Arial"/>
      <w:sz w:val="34"/>
    </w:rPr>
  </w:style>
  <w:style w:customStyle="1" w:styleId="30" w:type="character">
    <w:name w:val="Заголовок 3 Знак"/>
    <w:link w:val="3"/>
    <w:uiPriority w:val="9"/>
    <w:rPr>
      <w:rFonts w:ascii="Arial" w:cs="Arial" w:eastAsia="Arial" w:hAnsi="Arial"/>
      <w:sz w:val="30"/>
      <w:szCs w:val="30"/>
    </w:rPr>
  </w:style>
  <w:style w:customStyle="1" w:styleId="40" w:type="character">
    <w:name w:val="Заголовок 4 Знак"/>
    <w:link w:val="4"/>
    <w:uiPriority w:val="9"/>
    <w:rPr>
      <w:rFonts w:ascii="Arial" w:cs="Arial" w:eastAsia="Arial" w:hAnsi="Arial"/>
      <w:b/>
      <w:bCs/>
      <w:sz w:val="26"/>
      <w:szCs w:val="26"/>
    </w:rPr>
  </w:style>
  <w:style w:customStyle="1" w:styleId="50" w:type="character">
    <w:name w:val="Заголовок 5 Знак"/>
    <w:link w:val="5"/>
    <w:uiPriority w:val="9"/>
    <w:rPr>
      <w:rFonts w:ascii="Arial" w:cs="Arial" w:eastAsia="Arial" w:hAnsi="Arial"/>
      <w:b/>
      <w:bCs/>
      <w:sz w:val="24"/>
      <w:szCs w:val="24"/>
    </w:rPr>
  </w:style>
  <w:style w:customStyle="1" w:styleId="60" w:type="character">
    <w:name w:val="Заголовок 6 Знак"/>
    <w:link w:val="6"/>
    <w:uiPriority w:val="9"/>
    <w:rPr>
      <w:rFonts w:ascii="Arial" w:cs="Arial" w:eastAsia="Arial" w:hAnsi="Arial"/>
      <w:b/>
      <w:bCs/>
      <w:sz w:val="22"/>
      <w:szCs w:val="22"/>
    </w:rPr>
  </w:style>
  <w:style w:customStyle="1" w:styleId="70" w:type="character">
    <w:name w:val="Заголовок 7 Знак"/>
    <w:link w:val="7"/>
    <w:uiPriority w:val="9"/>
    <w:rPr>
      <w:rFonts w:ascii="Arial" w:cs="Arial" w:eastAsia="Arial" w:hAnsi="Arial"/>
      <w:b/>
      <w:bCs/>
      <w:i/>
      <w:iCs/>
      <w:sz w:val="22"/>
      <w:szCs w:val="22"/>
    </w:rPr>
  </w:style>
  <w:style w:customStyle="1" w:styleId="80" w:type="character">
    <w:name w:val="Заголовок 8 Знак"/>
    <w:link w:val="8"/>
    <w:uiPriority w:val="9"/>
    <w:rPr>
      <w:rFonts w:ascii="Arial" w:cs="Arial" w:eastAsia="Arial" w:hAnsi="Arial"/>
      <w:i/>
      <w:iCs/>
      <w:sz w:val="22"/>
      <w:szCs w:val="22"/>
    </w:rPr>
  </w:style>
  <w:style w:customStyle="1" w:styleId="90" w:type="character">
    <w:name w:val="Заголовок 9 Знак"/>
    <w:link w:val="9"/>
    <w:uiPriority w:val="9"/>
    <w:rPr>
      <w:rFonts w:ascii="Arial" w:cs="Arial" w:eastAsia="Arial" w:hAnsi="Arial"/>
      <w:i/>
      <w:iCs/>
      <w:sz w:val="21"/>
      <w:szCs w:val="21"/>
    </w:rPr>
  </w:style>
  <w:style w:styleId="a3" w:type="paragraph">
    <w:name w:val="List Paragraph"/>
    <w:basedOn w:val="a"/>
    <w:uiPriority w:val="34"/>
    <w:qFormat/>
    <w:pPr>
      <w:ind w:left="720"/>
      <w:contextualSpacing/>
    </w:pPr>
  </w:style>
  <w:style w:styleId="a4" w:type="paragraph">
    <w:name w:val="No Spacing"/>
    <w:uiPriority w:val="1"/>
    <w:qFormat/>
    <w:rPr>
      <w:lang w:eastAsia="zh-CN"/>
    </w:rPr>
  </w:style>
  <w:style w:styleId="a5" w:type="paragraph">
    <w:name w:val="Title"/>
    <w:basedOn w:val="a"/>
    <w:next w:val="a"/>
    <w:link w:val="a6"/>
    <w:uiPriority w:val="10"/>
    <w:qFormat/>
    <w:pPr>
      <w:spacing w:line="240" w:lineRule="auto"/>
      <w:contextualSpacing/>
    </w:pPr>
    <w:rPr>
      <w:rFonts w:ascii="Calibri Light" w:eastAsia="Times New Roman" w:hAnsi="Calibri Light"/>
      <w:spacing w:val="-10"/>
      <w:sz w:val="56"/>
      <w:szCs w:val="56"/>
    </w:rPr>
  </w:style>
  <w:style w:customStyle="1" w:styleId="TitleChar" w:type="character">
    <w:name w:val="Title Char"/>
    <w:uiPriority w:val="10"/>
    <w:rPr>
      <w:sz w:val="48"/>
      <w:szCs w:val="48"/>
    </w:rPr>
  </w:style>
  <w:style w:styleId="a7" w:type="paragraph">
    <w:name w:val="Subtitle"/>
    <w:basedOn w:val="a"/>
    <w:next w:val="a"/>
    <w:link w:val="a8"/>
    <w:uiPriority w:val="11"/>
    <w:qFormat/>
    <w:pPr>
      <w:numPr>
        <w:ilvl w:val="1"/>
      </w:numPr>
      <w:ind w:firstLine="709"/>
    </w:pPr>
    <w:rPr>
      <w:rFonts w:eastAsia="Times New Roman"/>
      <w:color w:val="5A5A5A"/>
      <w:spacing w:val="15"/>
    </w:rPr>
  </w:style>
  <w:style w:customStyle="1" w:styleId="SubtitleChar" w:type="character">
    <w:name w:val="Subtitle Char"/>
    <w:uiPriority w:val="11"/>
    <w:rPr>
      <w:sz w:val="24"/>
      <w:szCs w:val="24"/>
    </w:rPr>
  </w:style>
  <w:style w:styleId="21" w:type="paragraph">
    <w:name w:val="Quote"/>
    <w:basedOn w:val="a"/>
    <w:next w:val="a"/>
    <w:link w:val="22"/>
    <w:uiPriority w:val="29"/>
    <w:qFormat/>
    <w:pPr>
      <w:ind w:left="720" w:right="720"/>
    </w:pPr>
    <w:rPr>
      <w:i/>
    </w:rPr>
  </w:style>
  <w:style w:customStyle="1" w:styleId="22" w:type="character">
    <w:name w:val="Цитата 2 Знак"/>
    <w:link w:val="21"/>
    <w:uiPriority w:val="29"/>
    <w:rPr>
      <w:i/>
    </w:rPr>
  </w:style>
  <w:style w:styleId="a9" w:type="paragraph">
    <w:name w:val="Intense Quote"/>
    <w:basedOn w:val="a"/>
    <w:next w:val="a"/>
    <w:link w:val="aa"/>
    <w:uiPriority w:val="30"/>
    <w:qFormat/>
    <w:pPr>
      <w:pBdr>
        <w:top w:color="FFFFFF" w:space="5" w:sz="4" w:val="single"/>
        <w:left w:color="FFFFFF" w:space="10" w:sz="4" w:val="single"/>
        <w:bottom w:color="FFFFFF" w:space="5" w:sz="4" w:val="single"/>
        <w:right w:color="FFFFFF" w:space="10" w:sz="4" w:val="single"/>
      </w:pBdr>
      <w:shd w:color="auto" w:fill="F2F2F2" w:val="clear"/>
      <w:ind w:left="720" w:right="720"/>
    </w:pPr>
    <w:rPr>
      <w:i/>
    </w:rPr>
  </w:style>
  <w:style w:customStyle="1" w:styleId="aa" w:type="character">
    <w:name w:val="Выделенная цитата Знак"/>
    <w:link w:val="a9"/>
    <w:uiPriority w:val="30"/>
    <w:rPr>
      <w:i/>
    </w:rPr>
  </w:style>
  <w:style w:styleId="ab" w:type="paragraph">
    <w:name w:val="header"/>
    <w:basedOn w:val="a"/>
    <w:link w:val="ac"/>
    <w:uiPriority w:val="99"/>
    <w:unhideWhenUsed/>
    <w:pPr>
      <w:tabs>
        <w:tab w:pos="4677" w:val="center"/>
        <w:tab w:pos="9355" w:val="right"/>
      </w:tabs>
      <w:spacing w:line="240" w:lineRule="auto"/>
    </w:pPr>
  </w:style>
  <w:style w:customStyle="1" w:styleId="HeaderChar" w:type="character">
    <w:name w:val="Header Char"/>
    <w:uiPriority w:val="99"/>
  </w:style>
  <w:style w:styleId="ad" w:type="paragraph">
    <w:name w:val="footer"/>
    <w:basedOn w:val="a"/>
    <w:link w:val="ae"/>
    <w:uiPriority w:val="99"/>
    <w:unhideWhenUsed/>
    <w:pPr>
      <w:tabs>
        <w:tab w:pos="4677" w:val="center"/>
        <w:tab w:pos="9355" w:val="right"/>
      </w:tabs>
      <w:spacing w:line="240" w:lineRule="auto"/>
    </w:pPr>
  </w:style>
  <w:style w:customStyle="1" w:styleId="FooterChar" w:type="character">
    <w:name w:val="Footer Char"/>
    <w:uiPriority w:val="99"/>
  </w:style>
  <w:style w:styleId="af" w:type="paragraph">
    <w:name w:val="caption"/>
    <w:basedOn w:val="a"/>
    <w:next w:val="a"/>
    <w:uiPriority w:val="35"/>
    <w:semiHidden/>
    <w:unhideWhenUsed/>
    <w:qFormat/>
    <w:pPr>
      <w:spacing w:line="276" w:lineRule="auto"/>
    </w:pPr>
    <w:rPr>
      <w:b/>
      <w:bCs/>
      <w:color w:val="4F81BD"/>
      <w:sz w:val="18"/>
      <w:szCs w:val="18"/>
    </w:rPr>
  </w:style>
  <w:style w:customStyle="1" w:styleId="CaptionChar" w:type="character">
    <w:name w:val="Caption Char"/>
    <w:uiPriority w:val="99"/>
  </w:style>
  <w:style w:styleId="af0" w:type="table">
    <w:name w:val="Table Grid"/>
    <w:basedOn w:val="a1"/>
    <w:uiPriority w:val="59"/>
    <w:qFormat/>
    <w:tblPr/>
  </w:style>
  <w:style w:customStyle="1" w:styleId="TableGridLight" w:type="table">
    <w:name w:val="Table Grid Light"/>
    <w:uiPriority w:val="59"/>
    <w:rPr>
      <w:lang w:eastAsia="zh-CN"/>
    </w:rPr>
    <w:tblPr>
      <w:tblInd w:type="dxa" w:w="0"/>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type="dxa" w:w="0"/>
        <w:left w:type="dxa" w:w="108"/>
        <w:bottom w:type="dxa" w:w="0"/>
        <w:right w:type="dxa" w:w="108"/>
      </w:tblCellMar>
    </w:tblPr>
  </w:style>
  <w:style w:styleId="11" w:type="table">
    <w:name w:val="Plain Table 1"/>
    <w:uiPriority w:val="59"/>
    <w:rPr>
      <w:lang w:eastAsia="zh-CN"/>
    </w:rPr>
    <w:tblPr>
      <w:tblInd w:type="dxa" w:w="0"/>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type="dxa" w:w="0"/>
        <w:left w:type="dxa" w:w="108"/>
        <w:bottom w:type="dxa" w:w="0"/>
        <w:right w:type="dxa" w:w="108"/>
      </w:tblCellMar>
    </w:tblPr>
  </w:style>
  <w:style w:styleId="23" w:type="table">
    <w:name w:val="Plain Table 2"/>
    <w:uiPriority w:val="59"/>
    <w:rPr>
      <w:lang w:eastAsia="zh-CN"/>
    </w:rPr>
    <w:tblPr>
      <w:tblInd w:type="dxa" w:w="0"/>
      <w:tblBorders>
        <w:top w:color="000000" w:space="0" w:sz="4" w:val="single"/>
        <w:left w:color="000000" w:space="0" w:sz="4" w:val="none"/>
        <w:bottom w:color="000000" w:space="0" w:sz="4" w:val="single"/>
        <w:right w:color="000000" w:space="0" w:sz="4" w:val="none"/>
      </w:tblBorders>
      <w:tblCellMar>
        <w:top w:type="dxa" w:w="0"/>
        <w:left w:type="dxa" w:w="108"/>
        <w:bottom w:type="dxa" w:w="0"/>
        <w:right w:type="dxa" w:w="108"/>
      </w:tblCellMar>
    </w:tblPr>
  </w:style>
  <w:style w:styleId="31" w:type="table">
    <w:name w:val="Plain Table 3"/>
    <w:uiPriority w:val="99"/>
    <w:rPr>
      <w:lang w:eastAsia="zh-CN"/>
    </w:rPr>
    <w:tblPr>
      <w:tblStyleRowBandSize w:val="1"/>
      <w:tblStyleColBandSize w:val="1"/>
      <w:tblInd w:type="dxa" w:w="0"/>
      <w:tblCellMar>
        <w:top w:type="dxa" w:w="0"/>
        <w:left w:type="dxa" w:w="0"/>
        <w:bottom w:type="dxa" w:w="0"/>
        <w:right w:type="dxa" w:w="0"/>
      </w:tblCellMar>
    </w:tblPr>
  </w:style>
  <w:style w:styleId="41" w:type="table">
    <w:name w:val="Plain Table 4"/>
    <w:uiPriority w:val="99"/>
    <w:rPr>
      <w:lang w:eastAsia="zh-CN"/>
    </w:rPr>
    <w:tblPr>
      <w:tblStyleRowBandSize w:val="1"/>
      <w:tblStyleColBandSize w:val="1"/>
      <w:tblInd w:type="dxa" w:w="0"/>
      <w:tblCellMar>
        <w:top w:type="dxa" w:w="0"/>
        <w:left w:type="dxa" w:w="0"/>
        <w:bottom w:type="dxa" w:w="0"/>
        <w:right w:type="dxa" w:w="0"/>
      </w:tblCellMar>
    </w:tblPr>
  </w:style>
  <w:style w:styleId="51" w:type="table">
    <w:name w:val="Plain Table 5"/>
    <w:uiPriority w:val="99"/>
    <w:rPr>
      <w:lang w:eastAsia="zh-CN"/>
    </w:rPr>
    <w:tblPr>
      <w:tblStyleRowBandSize w:val="1"/>
      <w:tblStyleColBandSize w:val="1"/>
      <w:tblInd w:type="dxa" w:w="0"/>
      <w:tblCellMar>
        <w:top w:type="dxa" w:w="0"/>
        <w:left w:type="dxa" w:w="0"/>
        <w:bottom w:type="dxa" w:w="0"/>
        <w:right w:type="dxa" w:w="0"/>
      </w:tblCellMar>
    </w:tblPr>
  </w:style>
  <w:style w:styleId="-1" w:type="table">
    <w:name w:val="Grid Table 1 Light"/>
    <w:uiPriority w:val="99"/>
    <w:rPr>
      <w:lang w:eastAsia="zh-CN"/>
    </w:rPr>
    <w:tblPr>
      <w:tblStyleRowBandSize w:val="1"/>
      <w:tblStyleColBandSize w:val="1"/>
      <w:tblInd w:type="dxa" w:w="0"/>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type="dxa" w:w="0"/>
        <w:left w:type="dxa" w:w="0"/>
        <w:bottom w:type="dxa" w:w="0"/>
        <w:right w:type="dxa" w:w="0"/>
      </w:tblCellMar>
    </w:tblPr>
  </w:style>
  <w:style w:customStyle="1" w:styleId="GridTable1Light-Accent1" w:type="table">
    <w:name w:val="Grid Table 1 Light - Accent 1"/>
    <w:uiPriority w:val="99"/>
    <w:rPr>
      <w:lang w:eastAsia="zh-CN"/>
    </w:rPr>
    <w:tblPr>
      <w:tblStyleRowBandSize w:val="1"/>
      <w:tblStyleColBandSize w:val="1"/>
      <w:tblInd w:type="dxa" w:w="0"/>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type="dxa" w:w="0"/>
        <w:left w:type="dxa" w:w="0"/>
        <w:bottom w:type="dxa" w:w="0"/>
        <w:right w:type="dxa" w:w="0"/>
      </w:tblCellMar>
    </w:tblPr>
  </w:style>
  <w:style w:customStyle="1" w:styleId="GridTable1Light-Accent2" w:type="table">
    <w:name w:val="Grid Table 1 Light - Accent 2"/>
    <w:uiPriority w:val="99"/>
    <w:rPr>
      <w:lang w:eastAsia="zh-CN"/>
    </w:rPr>
    <w:tblPr>
      <w:tblStyleRowBandSize w:val="1"/>
      <w:tblStyleColBandSize w:val="1"/>
      <w:tblInd w:type="dxa" w:w="0"/>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type="dxa" w:w="0"/>
        <w:left w:type="dxa" w:w="0"/>
        <w:bottom w:type="dxa" w:w="0"/>
        <w:right w:type="dxa" w:w="0"/>
      </w:tblCellMar>
    </w:tblPr>
  </w:style>
  <w:style w:customStyle="1" w:styleId="GridTable1Light-Accent3" w:type="table">
    <w:name w:val="Grid Table 1 Light - Accent 3"/>
    <w:uiPriority w:val="99"/>
    <w:rPr>
      <w:lang w:eastAsia="zh-CN"/>
    </w:rPr>
    <w:tblPr>
      <w:tblStyleRowBandSize w:val="1"/>
      <w:tblStyleColBandSize w:val="1"/>
      <w:tblInd w:type="dxa" w:w="0"/>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type="dxa" w:w="0"/>
        <w:left w:type="dxa" w:w="0"/>
        <w:bottom w:type="dxa" w:w="0"/>
        <w:right w:type="dxa" w:w="0"/>
      </w:tblCellMar>
    </w:tblPr>
  </w:style>
  <w:style w:customStyle="1" w:styleId="GridTable1Light-Accent4" w:type="table">
    <w:name w:val="Grid Table 1 Light - Accent 4"/>
    <w:uiPriority w:val="99"/>
    <w:rPr>
      <w:lang w:eastAsia="zh-CN"/>
    </w:rPr>
    <w:tblPr>
      <w:tblStyleRowBandSize w:val="1"/>
      <w:tblStyleColBandSize w:val="1"/>
      <w:tblInd w:type="dxa" w:w="0"/>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type="dxa" w:w="0"/>
        <w:left w:type="dxa" w:w="0"/>
        <w:bottom w:type="dxa" w:w="0"/>
        <w:right w:type="dxa" w:w="0"/>
      </w:tblCellMar>
    </w:tblPr>
  </w:style>
  <w:style w:customStyle="1" w:styleId="GridTable1Light-Accent5" w:type="table">
    <w:name w:val="Grid Table 1 Light - Accent 5"/>
    <w:uiPriority w:val="99"/>
    <w:rPr>
      <w:lang w:eastAsia="zh-CN"/>
    </w:rPr>
    <w:tblPr>
      <w:tblStyleRowBandSize w:val="1"/>
      <w:tblStyleColBandSize w:val="1"/>
      <w:tblInd w:type="dxa" w:w="0"/>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type="dxa" w:w="0"/>
        <w:left w:type="dxa" w:w="0"/>
        <w:bottom w:type="dxa" w:w="0"/>
        <w:right w:type="dxa" w:w="0"/>
      </w:tblCellMar>
    </w:tblPr>
  </w:style>
  <w:style w:customStyle="1" w:styleId="GridTable1Light-Accent6" w:type="table">
    <w:name w:val="Grid Table 1 Light - Accent 6"/>
    <w:uiPriority w:val="99"/>
    <w:rPr>
      <w:lang w:eastAsia="zh-CN"/>
    </w:rPr>
    <w:tblPr>
      <w:tblStyleRowBandSize w:val="1"/>
      <w:tblStyleColBandSize w:val="1"/>
      <w:tblInd w:type="dxa" w:w="0"/>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type="dxa" w:w="0"/>
        <w:left w:type="dxa" w:w="0"/>
        <w:bottom w:type="dxa" w:w="0"/>
        <w:right w:type="dxa" w:w="0"/>
      </w:tblCellMar>
    </w:tblPr>
  </w:style>
  <w:style w:styleId="-2" w:type="table">
    <w:name w:val="Grid Table 2"/>
    <w:uiPriority w:val="99"/>
    <w:rPr>
      <w:lang w:eastAsia="zh-CN"/>
    </w:rPr>
    <w:tblPr>
      <w:tblStyleRowBandSize w:val="1"/>
      <w:tblStyleColBandSize w:val="1"/>
      <w:tblInd w:type="dxa" w:w="0"/>
      <w:tblBorders>
        <w:bottom w:color="6A6A6A" w:space="0" w:sz="4" w:val="single"/>
        <w:insideH w:color="6A6A6A" w:space="0" w:sz="4" w:val="single"/>
        <w:insideV w:color="6A6A6A" w:space="0" w:sz="4" w:val="single"/>
      </w:tblBorders>
      <w:tblCellMar>
        <w:top w:type="dxa" w:w="0"/>
        <w:left w:type="dxa" w:w="0"/>
        <w:bottom w:type="dxa" w:w="0"/>
        <w:right w:type="dxa" w:w="0"/>
      </w:tblCellMar>
    </w:tblPr>
  </w:style>
  <w:style w:customStyle="1" w:styleId="GridTable2-Accent1" w:type="table">
    <w:name w:val="Grid Table 2 - Accent 1"/>
    <w:uiPriority w:val="99"/>
    <w:rPr>
      <w:lang w:eastAsia="zh-CN"/>
    </w:rPr>
    <w:tblPr>
      <w:tblStyleRowBandSize w:val="1"/>
      <w:tblStyleColBandSize w:val="1"/>
      <w:tblInd w:type="dxa" w:w="0"/>
      <w:tblBorders>
        <w:bottom w:color="5D8AC2" w:space="0" w:sz="4" w:val="single"/>
        <w:insideH w:color="5D8AC2" w:space="0" w:sz="4" w:val="single"/>
        <w:insideV w:color="5D8AC2" w:space="0" w:sz="4" w:val="single"/>
      </w:tblBorders>
      <w:tblCellMar>
        <w:top w:type="dxa" w:w="0"/>
        <w:left w:type="dxa" w:w="0"/>
        <w:bottom w:type="dxa" w:w="0"/>
        <w:right w:type="dxa" w:w="0"/>
      </w:tblCellMar>
    </w:tblPr>
  </w:style>
  <w:style w:customStyle="1" w:styleId="GridTable2-Accent2" w:type="table">
    <w:name w:val="Grid Table 2 - Accent 2"/>
    <w:uiPriority w:val="99"/>
    <w:rPr>
      <w:lang w:eastAsia="zh-CN"/>
    </w:rPr>
    <w:tblPr>
      <w:tblStyleRowBandSize w:val="1"/>
      <w:tblStyleColBandSize w:val="1"/>
      <w:tblInd w:type="dxa" w:w="0"/>
      <w:tblBorders>
        <w:bottom w:color="D99695" w:space="0" w:sz="4" w:val="single"/>
        <w:insideH w:color="D99695" w:space="0" w:sz="4" w:val="single"/>
        <w:insideV w:color="D99695" w:space="0" w:sz="4" w:val="single"/>
      </w:tblBorders>
      <w:tblCellMar>
        <w:top w:type="dxa" w:w="0"/>
        <w:left w:type="dxa" w:w="0"/>
        <w:bottom w:type="dxa" w:w="0"/>
        <w:right w:type="dxa" w:w="0"/>
      </w:tblCellMar>
    </w:tblPr>
  </w:style>
  <w:style w:customStyle="1" w:styleId="GridTable2-Accent3" w:type="table">
    <w:name w:val="Grid Table 2 - Accent 3"/>
    <w:uiPriority w:val="99"/>
    <w:rPr>
      <w:lang w:eastAsia="zh-CN"/>
    </w:rPr>
    <w:tblPr>
      <w:tblStyleRowBandSize w:val="1"/>
      <w:tblStyleColBandSize w:val="1"/>
      <w:tblInd w:type="dxa" w:w="0"/>
      <w:tblBorders>
        <w:bottom w:color="9ABB59" w:space="0" w:sz="4" w:val="single"/>
        <w:insideH w:color="9ABB59" w:space="0" w:sz="4" w:val="single"/>
        <w:insideV w:color="9ABB59" w:space="0" w:sz="4" w:val="single"/>
      </w:tblBorders>
      <w:tblCellMar>
        <w:top w:type="dxa" w:w="0"/>
        <w:left w:type="dxa" w:w="0"/>
        <w:bottom w:type="dxa" w:w="0"/>
        <w:right w:type="dxa" w:w="0"/>
      </w:tblCellMar>
    </w:tblPr>
  </w:style>
  <w:style w:customStyle="1" w:styleId="GridTable2-Accent4" w:type="table">
    <w:name w:val="Grid Table 2 - Accent 4"/>
    <w:uiPriority w:val="99"/>
    <w:rPr>
      <w:lang w:eastAsia="zh-CN"/>
    </w:rPr>
    <w:tblPr>
      <w:tblStyleRowBandSize w:val="1"/>
      <w:tblStyleColBandSize w:val="1"/>
      <w:tblInd w:type="dxa" w:w="0"/>
      <w:tblBorders>
        <w:bottom w:color="B2A1C6" w:space="0" w:sz="4" w:val="single"/>
        <w:insideH w:color="B2A1C6" w:space="0" w:sz="4" w:val="single"/>
        <w:insideV w:color="B2A1C6" w:space="0" w:sz="4" w:val="single"/>
      </w:tblBorders>
      <w:tblCellMar>
        <w:top w:type="dxa" w:w="0"/>
        <w:left w:type="dxa" w:w="0"/>
        <w:bottom w:type="dxa" w:w="0"/>
        <w:right w:type="dxa" w:w="0"/>
      </w:tblCellMar>
    </w:tblPr>
  </w:style>
  <w:style w:customStyle="1" w:styleId="GridTable2-Accent5" w:type="table">
    <w:name w:val="Grid Table 2 - Accent 5"/>
    <w:uiPriority w:val="99"/>
    <w:rPr>
      <w:lang w:eastAsia="zh-CN"/>
    </w:rPr>
    <w:tblPr>
      <w:tblStyleRowBandSize w:val="1"/>
      <w:tblStyleColBandSize w:val="1"/>
      <w:tblInd w:type="dxa" w:w="0"/>
      <w:tblBorders>
        <w:bottom w:color="4BACC6" w:space="0" w:sz="4" w:val="single"/>
        <w:insideH w:color="4BACC6" w:space="0" w:sz="4" w:val="single"/>
        <w:insideV w:color="4BACC6" w:space="0" w:sz="4" w:val="single"/>
      </w:tblBorders>
      <w:tblCellMar>
        <w:top w:type="dxa" w:w="0"/>
        <w:left w:type="dxa" w:w="0"/>
        <w:bottom w:type="dxa" w:w="0"/>
        <w:right w:type="dxa" w:w="0"/>
      </w:tblCellMar>
    </w:tblPr>
  </w:style>
  <w:style w:customStyle="1" w:styleId="GridTable2-Accent6" w:type="table">
    <w:name w:val="Grid Table 2 - Accent 6"/>
    <w:uiPriority w:val="99"/>
    <w:rPr>
      <w:lang w:eastAsia="zh-CN"/>
    </w:rPr>
    <w:tblPr>
      <w:tblStyleRowBandSize w:val="1"/>
      <w:tblStyleColBandSize w:val="1"/>
      <w:tblInd w:type="dxa" w:w="0"/>
      <w:tblBorders>
        <w:bottom w:color="F79646" w:space="0" w:sz="4" w:val="single"/>
        <w:insideH w:color="F79646" w:space="0" w:sz="4" w:val="single"/>
        <w:insideV w:color="F79646" w:space="0" w:sz="4" w:val="single"/>
      </w:tblBorders>
      <w:tblCellMar>
        <w:top w:type="dxa" w:w="0"/>
        <w:left w:type="dxa" w:w="0"/>
        <w:bottom w:type="dxa" w:w="0"/>
        <w:right w:type="dxa" w:w="0"/>
      </w:tblCellMar>
    </w:tblPr>
  </w:style>
  <w:style w:styleId="-3" w:type="table">
    <w:name w:val="Grid Table 3"/>
    <w:uiPriority w:val="99"/>
    <w:rPr>
      <w:lang w:eastAsia="zh-CN"/>
    </w:rPr>
    <w:tblPr>
      <w:tblStyleRowBandSize w:val="1"/>
      <w:tblStyleColBandSize w:val="1"/>
      <w:tblInd w:type="dxa" w:w="0"/>
      <w:tblBorders>
        <w:bottom w:color="6A6A6A" w:space="0" w:sz="4" w:val="single"/>
        <w:insideH w:color="6A6A6A" w:space="0" w:sz="4" w:val="single"/>
        <w:insideV w:color="6A6A6A" w:space="0" w:sz="4" w:val="single"/>
      </w:tblBorders>
      <w:tblCellMar>
        <w:top w:type="dxa" w:w="0"/>
        <w:left w:type="dxa" w:w="0"/>
        <w:bottom w:type="dxa" w:w="0"/>
        <w:right w:type="dxa" w:w="0"/>
      </w:tblCellMar>
    </w:tblPr>
  </w:style>
  <w:style w:customStyle="1" w:styleId="GridTable3-Accent1" w:type="table">
    <w:name w:val="Grid Table 3 - Accent 1"/>
    <w:uiPriority w:val="99"/>
    <w:rPr>
      <w:lang w:eastAsia="zh-CN"/>
    </w:rPr>
    <w:tblPr>
      <w:tblStyleRowBandSize w:val="1"/>
      <w:tblStyleColBandSize w:val="1"/>
      <w:tblInd w:type="dxa" w:w="0"/>
      <w:tblBorders>
        <w:bottom w:color="5D8AC2" w:space="0" w:sz="4" w:val="single"/>
        <w:insideH w:color="5D8AC2" w:space="0" w:sz="4" w:val="single"/>
        <w:insideV w:color="5D8AC2" w:space="0" w:sz="4" w:val="single"/>
      </w:tblBorders>
      <w:tblCellMar>
        <w:top w:type="dxa" w:w="0"/>
        <w:left w:type="dxa" w:w="0"/>
        <w:bottom w:type="dxa" w:w="0"/>
        <w:right w:type="dxa" w:w="0"/>
      </w:tblCellMar>
    </w:tblPr>
  </w:style>
  <w:style w:customStyle="1" w:styleId="GridTable3-Accent2" w:type="table">
    <w:name w:val="Grid Table 3 - Accent 2"/>
    <w:uiPriority w:val="99"/>
    <w:rPr>
      <w:lang w:eastAsia="zh-CN"/>
    </w:rPr>
    <w:tblPr>
      <w:tblStyleRowBandSize w:val="1"/>
      <w:tblStyleColBandSize w:val="1"/>
      <w:tblInd w:type="dxa" w:w="0"/>
      <w:tblBorders>
        <w:bottom w:color="D99695" w:space="0" w:sz="4" w:val="single"/>
        <w:insideH w:color="D99695" w:space="0" w:sz="4" w:val="single"/>
        <w:insideV w:color="D99695" w:space="0" w:sz="4" w:val="single"/>
      </w:tblBorders>
      <w:tblCellMar>
        <w:top w:type="dxa" w:w="0"/>
        <w:left w:type="dxa" w:w="0"/>
        <w:bottom w:type="dxa" w:w="0"/>
        <w:right w:type="dxa" w:w="0"/>
      </w:tblCellMar>
    </w:tblPr>
  </w:style>
  <w:style w:customStyle="1" w:styleId="GridTable3-Accent3" w:type="table">
    <w:name w:val="Grid Table 3 - Accent 3"/>
    <w:uiPriority w:val="99"/>
    <w:rPr>
      <w:lang w:eastAsia="zh-CN"/>
    </w:rPr>
    <w:tblPr>
      <w:tblStyleRowBandSize w:val="1"/>
      <w:tblStyleColBandSize w:val="1"/>
      <w:tblInd w:type="dxa" w:w="0"/>
      <w:tblBorders>
        <w:bottom w:color="9ABB59" w:space="0" w:sz="4" w:val="single"/>
        <w:insideH w:color="9ABB59" w:space="0" w:sz="4" w:val="single"/>
        <w:insideV w:color="9ABB59" w:space="0" w:sz="4" w:val="single"/>
      </w:tblBorders>
      <w:tblCellMar>
        <w:top w:type="dxa" w:w="0"/>
        <w:left w:type="dxa" w:w="0"/>
        <w:bottom w:type="dxa" w:w="0"/>
        <w:right w:type="dxa" w:w="0"/>
      </w:tblCellMar>
    </w:tblPr>
  </w:style>
  <w:style w:customStyle="1" w:styleId="GridTable3-Accent4" w:type="table">
    <w:name w:val="Grid Table 3 - Accent 4"/>
    <w:uiPriority w:val="99"/>
    <w:rPr>
      <w:lang w:eastAsia="zh-CN"/>
    </w:rPr>
    <w:tblPr>
      <w:tblStyleRowBandSize w:val="1"/>
      <w:tblStyleColBandSize w:val="1"/>
      <w:tblInd w:type="dxa" w:w="0"/>
      <w:tblBorders>
        <w:bottom w:color="B2A1C6" w:space="0" w:sz="4" w:val="single"/>
        <w:insideH w:color="B2A1C6" w:space="0" w:sz="4" w:val="single"/>
        <w:insideV w:color="B2A1C6" w:space="0" w:sz="4" w:val="single"/>
      </w:tblBorders>
      <w:tblCellMar>
        <w:top w:type="dxa" w:w="0"/>
        <w:left w:type="dxa" w:w="0"/>
        <w:bottom w:type="dxa" w:w="0"/>
        <w:right w:type="dxa" w:w="0"/>
      </w:tblCellMar>
    </w:tblPr>
  </w:style>
  <w:style w:customStyle="1" w:styleId="GridTable3-Accent5" w:type="table">
    <w:name w:val="Grid Table 3 - Accent 5"/>
    <w:uiPriority w:val="99"/>
    <w:rPr>
      <w:lang w:eastAsia="zh-CN"/>
    </w:rPr>
    <w:tblPr>
      <w:tblStyleRowBandSize w:val="1"/>
      <w:tblStyleColBandSize w:val="1"/>
      <w:tblInd w:type="dxa" w:w="0"/>
      <w:tblBorders>
        <w:bottom w:color="4BACC6" w:space="0" w:sz="4" w:val="single"/>
        <w:insideH w:color="4BACC6" w:space="0" w:sz="4" w:val="single"/>
        <w:insideV w:color="4BACC6" w:space="0" w:sz="4" w:val="single"/>
      </w:tblBorders>
      <w:tblCellMar>
        <w:top w:type="dxa" w:w="0"/>
        <w:left w:type="dxa" w:w="0"/>
        <w:bottom w:type="dxa" w:w="0"/>
        <w:right w:type="dxa" w:w="0"/>
      </w:tblCellMar>
    </w:tblPr>
  </w:style>
  <w:style w:customStyle="1" w:styleId="GridTable3-Accent6" w:type="table">
    <w:name w:val="Grid Table 3 - Accent 6"/>
    <w:uiPriority w:val="99"/>
    <w:rPr>
      <w:lang w:eastAsia="zh-CN"/>
    </w:rPr>
    <w:tblPr>
      <w:tblStyleRowBandSize w:val="1"/>
      <w:tblStyleColBandSize w:val="1"/>
      <w:tblInd w:type="dxa" w:w="0"/>
      <w:tblBorders>
        <w:bottom w:color="F79646" w:space="0" w:sz="4" w:val="single"/>
        <w:insideH w:color="F79646" w:space="0" w:sz="4" w:val="single"/>
        <w:insideV w:color="F79646" w:space="0" w:sz="4" w:val="single"/>
      </w:tblBorders>
      <w:tblCellMar>
        <w:top w:type="dxa" w:w="0"/>
        <w:left w:type="dxa" w:w="0"/>
        <w:bottom w:type="dxa" w:w="0"/>
        <w:right w:type="dxa" w:w="0"/>
      </w:tblCellMar>
    </w:tblPr>
  </w:style>
  <w:style w:styleId="-4" w:type="table">
    <w:name w:val="Grid Table 4"/>
    <w:uiPriority w:val="59"/>
    <w:rPr>
      <w:lang w:eastAsia="zh-CN"/>
    </w:rPr>
    <w:tblPr>
      <w:tblStyleRowBandSize w:val="1"/>
      <w:tblStyleColBandSize w:val="1"/>
      <w:tblInd w:type="dxa" w:w="0"/>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type="dxa" w:w="0"/>
        <w:left w:type="dxa" w:w="0"/>
        <w:bottom w:type="dxa" w:w="0"/>
        <w:right w:type="dxa" w:w="0"/>
      </w:tblCellMar>
    </w:tblPr>
  </w:style>
  <w:style w:customStyle="1" w:styleId="GridTable4-Accent1" w:type="table">
    <w:name w:val="Grid Table 4 - Accent 1"/>
    <w:uiPriority w:val="59"/>
    <w:rPr>
      <w:lang w:eastAsia="zh-CN"/>
    </w:rPr>
    <w:tblPr>
      <w:tblStyleRowBandSize w:val="1"/>
      <w:tblStyleColBandSize w:val="1"/>
      <w:tblInd w:type="dxa" w:w="0"/>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type="dxa" w:w="0"/>
        <w:left w:type="dxa" w:w="0"/>
        <w:bottom w:type="dxa" w:w="0"/>
        <w:right w:type="dxa" w:w="0"/>
      </w:tblCellMar>
    </w:tblPr>
  </w:style>
  <w:style w:customStyle="1" w:styleId="GridTable4-Accent2" w:type="table">
    <w:name w:val="Grid Table 4 - Accent 2"/>
    <w:uiPriority w:val="59"/>
    <w:rPr>
      <w:lang w:eastAsia="zh-CN"/>
    </w:rPr>
    <w:tblPr>
      <w:tblStyleRowBandSize w:val="1"/>
      <w:tblStyleColBandSize w:val="1"/>
      <w:tblInd w:type="dxa" w:w="0"/>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type="dxa" w:w="0"/>
        <w:left w:type="dxa" w:w="0"/>
        <w:bottom w:type="dxa" w:w="0"/>
        <w:right w:type="dxa" w:w="0"/>
      </w:tblCellMar>
    </w:tblPr>
  </w:style>
  <w:style w:customStyle="1" w:styleId="GridTable4-Accent3" w:type="table">
    <w:name w:val="Grid Table 4 - Accent 3"/>
    <w:uiPriority w:val="59"/>
    <w:rPr>
      <w:lang w:eastAsia="zh-CN"/>
    </w:rPr>
    <w:tblPr>
      <w:tblStyleRowBandSize w:val="1"/>
      <w:tblStyleColBandSize w:val="1"/>
      <w:tblInd w:type="dxa" w:w="0"/>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type="dxa" w:w="0"/>
        <w:left w:type="dxa" w:w="0"/>
        <w:bottom w:type="dxa" w:w="0"/>
        <w:right w:type="dxa" w:w="0"/>
      </w:tblCellMar>
    </w:tblPr>
  </w:style>
  <w:style w:customStyle="1" w:styleId="GridTable4-Accent4" w:type="table">
    <w:name w:val="Grid Table 4 - Accent 4"/>
    <w:uiPriority w:val="59"/>
    <w:rPr>
      <w:lang w:eastAsia="zh-CN"/>
    </w:rPr>
    <w:tblPr>
      <w:tblStyleRowBandSize w:val="1"/>
      <w:tblStyleColBandSize w:val="1"/>
      <w:tblInd w:type="dxa" w:w="0"/>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type="dxa" w:w="0"/>
        <w:left w:type="dxa" w:w="0"/>
        <w:bottom w:type="dxa" w:w="0"/>
        <w:right w:type="dxa" w:w="0"/>
      </w:tblCellMar>
    </w:tblPr>
  </w:style>
  <w:style w:customStyle="1" w:styleId="GridTable4-Accent5" w:type="table">
    <w:name w:val="Grid Table 4 - Accent 5"/>
    <w:uiPriority w:val="59"/>
    <w:rPr>
      <w:lang w:eastAsia="zh-CN"/>
    </w:rPr>
    <w:tblPr>
      <w:tblStyleRowBandSize w:val="1"/>
      <w:tblStyleColBandSize w:val="1"/>
      <w:tblInd w:type="dxa" w:w="0"/>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type="dxa" w:w="0"/>
        <w:left w:type="dxa" w:w="0"/>
        <w:bottom w:type="dxa" w:w="0"/>
        <w:right w:type="dxa" w:w="0"/>
      </w:tblCellMar>
    </w:tblPr>
  </w:style>
  <w:style w:customStyle="1" w:styleId="GridTable4-Accent6" w:type="table">
    <w:name w:val="Grid Table 4 - Accent 6"/>
    <w:uiPriority w:val="59"/>
    <w:rPr>
      <w:lang w:eastAsia="zh-CN"/>
    </w:rPr>
    <w:tblPr>
      <w:tblStyleRowBandSize w:val="1"/>
      <w:tblStyleColBandSize w:val="1"/>
      <w:tblInd w:type="dxa" w:w="0"/>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type="dxa" w:w="0"/>
        <w:left w:type="dxa" w:w="0"/>
        <w:bottom w:type="dxa" w:w="0"/>
        <w:right w:type="dxa" w:w="0"/>
      </w:tblCellMar>
    </w:tblPr>
  </w:style>
  <w:style w:styleId="-5" w:type="table">
    <w:name w:val="Grid Table 5 Dark"/>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BFBFBF" w:fill="BFBFBF" w:val="clear"/>
      <w:tblCellMar>
        <w:top w:type="dxa" w:w="0"/>
        <w:left w:type="dxa" w:w="0"/>
        <w:bottom w:type="dxa" w:w="0"/>
        <w:right w:type="dxa" w:w="0"/>
      </w:tblCellMar>
    </w:tblPr>
  </w:style>
  <w:style w:customStyle="1" w:styleId="GridTable5Dark-Accent1" w:type="table">
    <w:name w:val="Grid Table 5 Dark- Accent 1"/>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DAE5F1" w:fill="DAE5F1" w:val="clear"/>
      <w:tblCellMar>
        <w:top w:type="dxa" w:w="0"/>
        <w:left w:type="dxa" w:w="0"/>
        <w:bottom w:type="dxa" w:w="0"/>
        <w:right w:type="dxa" w:w="0"/>
      </w:tblCellMar>
    </w:tblPr>
  </w:style>
  <w:style w:customStyle="1" w:styleId="GridTable5Dark-Accent2" w:type="table">
    <w:name w:val="Grid Table 5 Dark - Accent 2"/>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2DCDC" w:fill="F2DCDC" w:val="clear"/>
      <w:tblCellMar>
        <w:top w:type="dxa" w:w="0"/>
        <w:left w:type="dxa" w:w="0"/>
        <w:bottom w:type="dxa" w:w="0"/>
        <w:right w:type="dxa" w:w="0"/>
      </w:tblCellMar>
    </w:tblPr>
  </w:style>
  <w:style w:customStyle="1" w:styleId="GridTable5Dark-Accent3" w:type="table">
    <w:name w:val="Grid Table 5 Dark - Accent 3"/>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EAF1DC" w:fill="EAF1DC" w:val="clear"/>
      <w:tblCellMar>
        <w:top w:type="dxa" w:w="0"/>
        <w:left w:type="dxa" w:w="0"/>
        <w:bottom w:type="dxa" w:w="0"/>
        <w:right w:type="dxa" w:w="0"/>
      </w:tblCellMar>
    </w:tblPr>
  </w:style>
  <w:style w:customStyle="1" w:styleId="GridTable5Dark-Accent4" w:type="table">
    <w:name w:val="Grid Table 5 Dark- Accent 4"/>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E5DFEC" w:fill="E5DFEC" w:val="clear"/>
      <w:tblCellMar>
        <w:top w:type="dxa" w:w="0"/>
        <w:left w:type="dxa" w:w="0"/>
        <w:bottom w:type="dxa" w:w="0"/>
        <w:right w:type="dxa" w:w="0"/>
      </w:tblCellMar>
    </w:tblPr>
  </w:style>
  <w:style w:customStyle="1" w:styleId="GridTable5Dark-Accent5" w:type="table">
    <w:name w:val="Grid Table 5 Dark - Accent 5"/>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DAEEF3" w:fill="DAEEF3" w:val="clear"/>
      <w:tblCellMar>
        <w:top w:type="dxa" w:w="0"/>
        <w:left w:type="dxa" w:w="0"/>
        <w:bottom w:type="dxa" w:w="0"/>
        <w:right w:type="dxa" w:w="0"/>
      </w:tblCellMar>
    </w:tblPr>
  </w:style>
  <w:style w:customStyle="1" w:styleId="GridTable5Dark-Accent6" w:type="table">
    <w:name w:val="Grid Table 5 Dark - Accent 6"/>
    <w:uiPriority w:val="99"/>
    <w:rPr>
      <w:lang w:eastAsia="zh-CN"/>
    </w:rPr>
    <w:tblPr>
      <w:tblStyleRowBandSize w:val="1"/>
      <w:tblStyleColBandSize w:val="1"/>
      <w:tblInd w:type="dxa" w:w="0"/>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DE9D8" w:fill="FDE9D8" w:val="clear"/>
      <w:tblCellMar>
        <w:top w:type="dxa" w:w="0"/>
        <w:left w:type="dxa" w:w="0"/>
        <w:bottom w:type="dxa" w:w="0"/>
        <w:right w:type="dxa" w:w="0"/>
      </w:tblCellMar>
    </w:tblPr>
  </w:style>
  <w:style w:styleId="-6" w:type="table">
    <w:name w:val="Grid Table 6 Colorful"/>
    <w:uiPriority w:val="99"/>
    <w:rPr>
      <w:lang w:eastAsia="zh-CN"/>
    </w:rPr>
    <w:tblPr>
      <w:tblStyleRowBandSize w:val="1"/>
      <w:tblStyleColBandSize w:val="1"/>
      <w:tblInd w:type="dxa" w:w="0"/>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type="dxa" w:w="0"/>
        <w:left w:type="dxa" w:w="0"/>
        <w:bottom w:type="dxa" w:w="0"/>
        <w:right w:type="dxa" w:w="0"/>
      </w:tblCellMar>
    </w:tblPr>
  </w:style>
  <w:style w:customStyle="1" w:styleId="GridTable6Colorful-Accent1" w:type="table">
    <w:name w:val="Grid Table 6 Colorful - Accent 1"/>
    <w:uiPriority w:val="99"/>
    <w:rPr>
      <w:lang w:eastAsia="zh-CN"/>
    </w:rPr>
    <w:tblPr>
      <w:tblStyleRowBandSize w:val="1"/>
      <w:tblStyleColBandSize w:val="1"/>
      <w:tblInd w:type="dxa" w:w="0"/>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type="dxa" w:w="0"/>
        <w:left w:type="dxa" w:w="0"/>
        <w:bottom w:type="dxa" w:w="0"/>
        <w:right w:type="dxa" w:w="0"/>
      </w:tblCellMar>
    </w:tblPr>
  </w:style>
  <w:style w:customStyle="1" w:styleId="GridTable6Colorful-Accent2" w:type="table">
    <w:name w:val="Grid Table 6 Colorful - Accent 2"/>
    <w:uiPriority w:val="99"/>
    <w:rPr>
      <w:lang w:eastAsia="zh-CN"/>
    </w:rPr>
    <w:tblPr>
      <w:tblStyleRowBandSize w:val="1"/>
      <w:tblStyleColBandSize w:val="1"/>
      <w:tblInd w:type="dxa" w:w="0"/>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type="dxa" w:w="0"/>
        <w:left w:type="dxa" w:w="0"/>
        <w:bottom w:type="dxa" w:w="0"/>
        <w:right w:type="dxa" w:w="0"/>
      </w:tblCellMar>
    </w:tblPr>
  </w:style>
  <w:style w:customStyle="1" w:styleId="GridTable6Colorful-Accent3" w:type="table">
    <w:name w:val="Grid Table 6 Colorful - Accent 3"/>
    <w:uiPriority w:val="99"/>
    <w:rPr>
      <w:lang w:eastAsia="zh-CN"/>
    </w:rPr>
    <w:tblPr>
      <w:tblStyleRowBandSize w:val="1"/>
      <w:tblStyleColBandSize w:val="1"/>
      <w:tblInd w:type="dxa" w:w="0"/>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type="dxa" w:w="0"/>
        <w:left w:type="dxa" w:w="0"/>
        <w:bottom w:type="dxa" w:w="0"/>
        <w:right w:type="dxa" w:w="0"/>
      </w:tblCellMar>
    </w:tblPr>
  </w:style>
  <w:style w:customStyle="1" w:styleId="GridTable6Colorful-Accent4" w:type="table">
    <w:name w:val="Grid Table 6 Colorful - Accent 4"/>
    <w:uiPriority w:val="99"/>
    <w:rPr>
      <w:lang w:eastAsia="zh-CN"/>
    </w:rPr>
    <w:tblPr>
      <w:tblStyleRowBandSize w:val="1"/>
      <w:tblStyleColBandSize w:val="1"/>
      <w:tblInd w:type="dxa" w:w="0"/>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type="dxa" w:w="0"/>
        <w:left w:type="dxa" w:w="0"/>
        <w:bottom w:type="dxa" w:w="0"/>
        <w:right w:type="dxa" w:w="0"/>
      </w:tblCellMar>
    </w:tblPr>
  </w:style>
  <w:style w:customStyle="1" w:styleId="GridTable6Colorful-Accent5" w:type="table">
    <w:name w:val="Grid Table 6 Colorful - Accent 5"/>
    <w:uiPriority w:val="99"/>
    <w:rPr>
      <w:lang w:eastAsia="zh-CN"/>
    </w:rPr>
    <w:tblPr>
      <w:tblStyleRowBandSize w:val="1"/>
      <w:tblStyleColBandSize w:val="1"/>
      <w:tblInd w:type="dxa" w:w="0"/>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type="dxa" w:w="0"/>
        <w:left w:type="dxa" w:w="0"/>
        <w:bottom w:type="dxa" w:w="0"/>
        <w:right w:type="dxa" w:w="0"/>
      </w:tblCellMar>
    </w:tblPr>
  </w:style>
  <w:style w:customStyle="1" w:styleId="GridTable6Colorful-Accent6" w:type="table">
    <w:name w:val="Grid Table 6 Colorful - Accent 6"/>
    <w:uiPriority w:val="99"/>
    <w:rPr>
      <w:lang w:eastAsia="zh-CN"/>
    </w:rPr>
    <w:tblPr>
      <w:tblStyleRowBandSize w:val="1"/>
      <w:tblStyleColBandSize w:val="1"/>
      <w:tblInd w:type="dxa" w:w="0"/>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type="dxa" w:w="0"/>
        <w:left w:type="dxa" w:w="0"/>
        <w:bottom w:type="dxa" w:w="0"/>
        <w:right w:type="dxa" w:w="0"/>
      </w:tblCellMar>
    </w:tblPr>
  </w:style>
  <w:style w:styleId="-7" w:type="table">
    <w:name w:val="Grid Table 7 Colorful"/>
    <w:uiPriority w:val="99"/>
    <w:rPr>
      <w:lang w:eastAsia="zh-CN"/>
    </w:rPr>
    <w:tblPr>
      <w:tblStyleRowBandSize w:val="1"/>
      <w:tblStyleColBandSize w:val="1"/>
      <w:tblInd w:type="dxa" w:w="0"/>
      <w:tblBorders>
        <w:bottom w:color="7F7F7F" w:space="0" w:sz="4" w:val="single"/>
        <w:right w:color="7F7F7F" w:space="0" w:sz="4" w:val="single"/>
        <w:insideH w:color="7F7F7F" w:space="0" w:sz="4" w:val="single"/>
        <w:insideV w:color="7F7F7F" w:space="0" w:sz="4" w:val="single"/>
      </w:tblBorders>
      <w:tblCellMar>
        <w:top w:type="dxa" w:w="0"/>
        <w:left w:type="dxa" w:w="0"/>
        <w:bottom w:type="dxa" w:w="0"/>
        <w:right w:type="dxa" w:w="0"/>
      </w:tblCellMar>
    </w:tblPr>
  </w:style>
  <w:style w:customStyle="1" w:styleId="GridTable7Colorful-Accent1" w:type="table">
    <w:name w:val="Grid Table 7 Colorful - Accent 1"/>
    <w:uiPriority w:val="99"/>
    <w:rPr>
      <w:lang w:eastAsia="zh-CN"/>
    </w:rPr>
    <w:tblPr>
      <w:tblStyleRowBandSize w:val="1"/>
      <w:tblStyleColBandSize w:val="1"/>
      <w:tblInd w:type="dxa" w:w="0"/>
      <w:tblBorders>
        <w:bottom w:color="A6BFDD" w:space="0" w:sz="4" w:val="single"/>
        <w:right w:color="A6BFDD" w:space="0" w:sz="4" w:val="single"/>
        <w:insideH w:color="A6BFDD" w:space="0" w:sz="4" w:val="single"/>
        <w:insideV w:color="A6BFDD" w:space="0" w:sz="4" w:val="single"/>
      </w:tblBorders>
      <w:tblCellMar>
        <w:top w:type="dxa" w:w="0"/>
        <w:left w:type="dxa" w:w="0"/>
        <w:bottom w:type="dxa" w:w="0"/>
        <w:right w:type="dxa" w:w="0"/>
      </w:tblCellMar>
    </w:tblPr>
  </w:style>
  <w:style w:customStyle="1" w:styleId="GridTable7Colorful-Accent2" w:type="table">
    <w:name w:val="Grid Table 7 Colorful - Accent 2"/>
    <w:uiPriority w:val="99"/>
    <w:rPr>
      <w:lang w:eastAsia="zh-CN"/>
    </w:rPr>
    <w:tblPr>
      <w:tblStyleRowBandSize w:val="1"/>
      <w:tblStyleColBandSize w:val="1"/>
      <w:tblInd w:type="dxa" w:w="0"/>
      <w:tblBorders>
        <w:bottom w:color="D99695" w:space="0" w:sz="4" w:val="single"/>
        <w:right w:color="D99695" w:space="0" w:sz="4" w:val="single"/>
        <w:insideH w:color="D99695" w:space="0" w:sz="4" w:val="single"/>
        <w:insideV w:color="D99695" w:space="0" w:sz="4" w:val="single"/>
      </w:tblBorders>
      <w:tblCellMar>
        <w:top w:type="dxa" w:w="0"/>
        <w:left w:type="dxa" w:w="0"/>
        <w:bottom w:type="dxa" w:w="0"/>
        <w:right w:type="dxa" w:w="0"/>
      </w:tblCellMar>
    </w:tblPr>
  </w:style>
  <w:style w:customStyle="1" w:styleId="GridTable7Colorful-Accent3" w:type="table">
    <w:name w:val="Grid Table 7 Colorful - Accent 3"/>
    <w:uiPriority w:val="99"/>
    <w:rPr>
      <w:lang w:eastAsia="zh-CN"/>
    </w:rPr>
    <w:tblPr>
      <w:tblStyleRowBandSize w:val="1"/>
      <w:tblStyleColBandSize w:val="1"/>
      <w:tblInd w:type="dxa" w:w="0"/>
      <w:tblBorders>
        <w:bottom w:color="9ABB59" w:space="0" w:sz="4" w:val="single"/>
        <w:right w:color="9ABB59" w:space="0" w:sz="4" w:val="single"/>
        <w:insideH w:color="9ABB59" w:space="0" w:sz="4" w:val="single"/>
        <w:insideV w:color="9ABB59" w:space="0" w:sz="4" w:val="single"/>
      </w:tblBorders>
      <w:tblCellMar>
        <w:top w:type="dxa" w:w="0"/>
        <w:left w:type="dxa" w:w="0"/>
        <w:bottom w:type="dxa" w:w="0"/>
        <w:right w:type="dxa" w:w="0"/>
      </w:tblCellMar>
    </w:tblPr>
  </w:style>
  <w:style w:customStyle="1" w:styleId="GridTable7Colorful-Accent4" w:type="table">
    <w:name w:val="Grid Table 7 Colorful - Accent 4"/>
    <w:uiPriority w:val="99"/>
    <w:rPr>
      <w:lang w:eastAsia="zh-CN"/>
    </w:rPr>
    <w:tblPr>
      <w:tblStyleRowBandSize w:val="1"/>
      <w:tblStyleColBandSize w:val="1"/>
      <w:tblInd w:type="dxa" w:w="0"/>
      <w:tblBorders>
        <w:bottom w:color="B2A1C6" w:space="0" w:sz="4" w:val="single"/>
        <w:right w:color="B2A1C6" w:space="0" w:sz="4" w:val="single"/>
        <w:insideH w:color="B2A1C6" w:space="0" w:sz="4" w:val="single"/>
        <w:insideV w:color="B2A1C6" w:space="0" w:sz="4" w:val="single"/>
      </w:tblBorders>
      <w:tblCellMar>
        <w:top w:type="dxa" w:w="0"/>
        <w:left w:type="dxa" w:w="0"/>
        <w:bottom w:type="dxa" w:w="0"/>
        <w:right w:type="dxa" w:w="0"/>
      </w:tblCellMar>
    </w:tblPr>
  </w:style>
  <w:style w:customStyle="1" w:styleId="GridTable7Colorful-Accent5" w:type="table">
    <w:name w:val="Grid Table 7 Colorful - Accent 5"/>
    <w:uiPriority w:val="99"/>
    <w:rPr>
      <w:lang w:eastAsia="zh-CN"/>
    </w:rPr>
    <w:tblPr>
      <w:tblStyleRowBandSize w:val="1"/>
      <w:tblStyleColBandSize w:val="1"/>
      <w:tblInd w:type="dxa" w:w="0"/>
      <w:tblBorders>
        <w:bottom w:color="99D0DE" w:space="0" w:sz="4" w:val="single"/>
        <w:right w:color="99D0DE" w:space="0" w:sz="4" w:val="single"/>
        <w:insideH w:color="99D0DE" w:space="0" w:sz="4" w:val="single"/>
        <w:insideV w:color="99D0DE" w:space="0" w:sz="4" w:val="single"/>
      </w:tblBorders>
      <w:tblCellMar>
        <w:top w:type="dxa" w:w="0"/>
        <w:left w:type="dxa" w:w="0"/>
        <w:bottom w:type="dxa" w:w="0"/>
        <w:right w:type="dxa" w:w="0"/>
      </w:tblCellMar>
    </w:tblPr>
  </w:style>
  <w:style w:customStyle="1" w:styleId="GridTable7Colorful-Accent6" w:type="table">
    <w:name w:val="Grid Table 7 Colorful - Accent 6"/>
    <w:uiPriority w:val="99"/>
    <w:rPr>
      <w:lang w:eastAsia="zh-CN"/>
    </w:rPr>
    <w:tblPr>
      <w:tblStyleRowBandSize w:val="1"/>
      <w:tblStyleColBandSize w:val="1"/>
      <w:tblInd w:type="dxa" w:w="0"/>
      <w:tblBorders>
        <w:bottom w:color="FAC396" w:space="0" w:sz="4" w:val="single"/>
        <w:right w:color="FAC396" w:space="0" w:sz="4" w:val="single"/>
        <w:insideH w:color="FAC396" w:space="0" w:sz="4" w:val="single"/>
        <w:insideV w:color="FAC396" w:space="0" w:sz="4" w:val="single"/>
      </w:tblBorders>
      <w:tblCellMar>
        <w:top w:type="dxa" w:w="0"/>
        <w:left w:type="dxa" w:w="0"/>
        <w:bottom w:type="dxa" w:w="0"/>
        <w:right w:type="dxa" w:w="0"/>
      </w:tblCellMar>
    </w:tblPr>
  </w:style>
  <w:style w:styleId="-10" w:type="table">
    <w:name w:val="List Table 1 Light"/>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1" w:type="table">
    <w:name w:val="List Table 1 Light - Accent 1"/>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2" w:type="table">
    <w:name w:val="List Table 1 Light - Accent 2"/>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3" w:type="table">
    <w:name w:val="List Table 1 Light - Accent 3"/>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4" w:type="table">
    <w:name w:val="List Table 1 Light - Accent 4"/>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5" w:type="table">
    <w:name w:val="List Table 1 Light - Accent 5"/>
    <w:uiPriority w:val="99"/>
    <w:rPr>
      <w:lang w:eastAsia="zh-CN"/>
    </w:rPr>
    <w:tblPr>
      <w:tblStyleRowBandSize w:val="1"/>
      <w:tblStyleColBandSize w:val="1"/>
      <w:tblInd w:type="dxa" w:w="0"/>
      <w:tblCellMar>
        <w:top w:type="dxa" w:w="0"/>
        <w:left w:type="dxa" w:w="0"/>
        <w:bottom w:type="dxa" w:w="0"/>
        <w:right w:type="dxa" w:w="0"/>
      </w:tblCellMar>
    </w:tblPr>
  </w:style>
  <w:style w:customStyle="1" w:styleId="ListTable1Light-Accent6" w:type="table">
    <w:name w:val="List Table 1 Light - Accent 6"/>
    <w:uiPriority w:val="99"/>
    <w:rPr>
      <w:lang w:eastAsia="zh-CN"/>
    </w:rPr>
    <w:tblPr>
      <w:tblStyleRowBandSize w:val="1"/>
      <w:tblStyleColBandSize w:val="1"/>
      <w:tblInd w:type="dxa" w:w="0"/>
      <w:tblCellMar>
        <w:top w:type="dxa" w:w="0"/>
        <w:left w:type="dxa" w:w="0"/>
        <w:bottom w:type="dxa" w:w="0"/>
        <w:right w:type="dxa" w:w="0"/>
      </w:tblCellMar>
    </w:tblPr>
  </w:style>
  <w:style w:styleId="-20" w:type="table">
    <w:name w:val="List Table 2"/>
    <w:uiPriority w:val="99"/>
    <w:rPr>
      <w:lang w:eastAsia="zh-CN"/>
    </w:rPr>
    <w:tblPr>
      <w:tblStyleRowBandSize w:val="1"/>
      <w:tblStyleColBandSize w:val="1"/>
      <w:tblInd w:type="dxa" w:w="0"/>
      <w:tblBorders>
        <w:top w:color="6F6F6F" w:space="0" w:sz="4" w:val="single"/>
        <w:bottom w:color="6F6F6F" w:space="0" w:sz="4" w:val="single"/>
        <w:insideH w:color="6F6F6F" w:space="0" w:sz="4" w:val="single"/>
      </w:tblBorders>
      <w:tblCellMar>
        <w:top w:type="dxa" w:w="0"/>
        <w:left w:type="dxa" w:w="0"/>
        <w:bottom w:type="dxa" w:w="0"/>
        <w:right w:type="dxa" w:w="0"/>
      </w:tblCellMar>
    </w:tblPr>
  </w:style>
  <w:style w:customStyle="1" w:styleId="ListTable2-Accent1" w:type="table">
    <w:name w:val="List Table 2 - Accent 1"/>
    <w:uiPriority w:val="99"/>
    <w:rPr>
      <w:lang w:eastAsia="zh-CN"/>
    </w:rPr>
    <w:tblPr>
      <w:tblStyleRowBandSize w:val="1"/>
      <w:tblStyleColBandSize w:val="1"/>
      <w:tblInd w:type="dxa" w:w="0"/>
      <w:tblBorders>
        <w:top w:color="9BB7D9" w:space="0" w:sz="4" w:val="single"/>
        <w:bottom w:color="9BB7D9" w:space="0" w:sz="4" w:val="single"/>
        <w:insideH w:color="9BB7D9" w:space="0" w:sz="4" w:val="single"/>
      </w:tblBorders>
      <w:tblCellMar>
        <w:top w:type="dxa" w:w="0"/>
        <w:left w:type="dxa" w:w="0"/>
        <w:bottom w:type="dxa" w:w="0"/>
        <w:right w:type="dxa" w:w="0"/>
      </w:tblCellMar>
    </w:tblPr>
  </w:style>
  <w:style w:customStyle="1" w:styleId="ListTable2-Accent2" w:type="table">
    <w:name w:val="List Table 2 - Accent 2"/>
    <w:uiPriority w:val="99"/>
    <w:rPr>
      <w:lang w:eastAsia="zh-CN"/>
    </w:rPr>
    <w:tblPr>
      <w:tblStyleRowBandSize w:val="1"/>
      <w:tblStyleColBandSize w:val="1"/>
      <w:tblInd w:type="dxa" w:w="0"/>
      <w:tblBorders>
        <w:top w:color="DB9B9A" w:space="0" w:sz="4" w:val="single"/>
        <w:bottom w:color="DB9B9A" w:space="0" w:sz="4" w:val="single"/>
        <w:insideH w:color="DB9B9A" w:space="0" w:sz="4" w:val="single"/>
      </w:tblBorders>
      <w:tblCellMar>
        <w:top w:type="dxa" w:w="0"/>
        <w:left w:type="dxa" w:w="0"/>
        <w:bottom w:type="dxa" w:w="0"/>
        <w:right w:type="dxa" w:w="0"/>
      </w:tblCellMar>
    </w:tblPr>
  </w:style>
  <w:style w:customStyle="1" w:styleId="ListTable2-Accent3" w:type="table">
    <w:name w:val="List Table 2 - Accent 3"/>
    <w:uiPriority w:val="99"/>
    <w:rPr>
      <w:lang w:eastAsia="zh-CN"/>
    </w:rPr>
    <w:tblPr>
      <w:tblStyleRowBandSize w:val="1"/>
      <w:tblStyleColBandSize w:val="1"/>
      <w:tblInd w:type="dxa" w:w="0"/>
      <w:tblBorders>
        <w:top w:color="C6D8A1" w:space="0" w:sz="4" w:val="single"/>
        <w:bottom w:color="C6D8A1" w:space="0" w:sz="4" w:val="single"/>
        <w:insideH w:color="C6D8A1" w:space="0" w:sz="4" w:val="single"/>
      </w:tblBorders>
      <w:tblCellMar>
        <w:top w:type="dxa" w:w="0"/>
        <w:left w:type="dxa" w:w="0"/>
        <w:bottom w:type="dxa" w:w="0"/>
        <w:right w:type="dxa" w:w="0"/>
      </w:tblCellMar>
    </w:tblPr>
  </w:style>
  <w:style w:customStyle="1" w:styleId="ListTable2-Accent4" w:type="table">
    <w:name w:val="List Table 2 - Accent 4"/>
    <w:uiPriority w:val="99"/>
    <w:rPr>
      <w:lang w:eastAsia="zh-CN"/>
    </w:rPr>
    <w:tblPr>
      <w:tblStyleRowBandSize w:val="1"/>
      <w:tblStyleColBandSize w:val="1"/>
      <w:tblInd w:type="dxa" w:w="0"/>
      <w:tblBorders>
        <w:top w:color="B7A7CA" w:space="0" w:sz="4" w:val="single"/>
        <w:bottom w:color="B7A7CA" w:space="0" w:sz="4" w:val="single"/>
        <w:insideH w:color="B7A7CA" w:space="0" w:sz="4" w:val="single"/>
      </w:tblBorders>
      <w:tblCellMar>
        <w:top w:type="dxa" w:w="0"/>
        <w:left w:type="dxa" w:w="0"/>
        <w:bottom w:type="dxa" w:w="0"/>
        <w:right w:type="dxa" w:w="0"/>
      </w:tblCellMar>
    </w:tblPr>
  </w:style>
  <w:style w:customStyle="1" w:styleId="ListTable2-Accent5" w:type="table">
    <w:name w:val="List Table 2 - Accent 5"/>
    <w:uiPriority w:val="99"/>
    <w:rPr>
      <w:lang w:eastAsia="zh-CN"/>
    </w:rPr>
    <w:tblPr>
      <w:tblStyleRowBandSize w:val="1"/>
      <w:tblStyleColBandSize w:val="1"/>
      <w:tblInd w:type="dxa" w:w="0"/>
      <w:tblBorders>
        <w:top w:color="99D0DE" w:space="0" w:sz="4" w:val="single"/>
        <w:bottom w:color="99D0DE" w:space="0" w:sz="4" w:val="single"/>
        <w:insideH w:color="99D0DE" w:space="0" w:sz="4" w:val="single"/>
      </w:tblBorders>
      <w:tblCellMar>
        <w:top w:type="dxa" w:w="0"/>
        <w:left w:type="dxa" w:w="0"/>
        <w:bottom w:type="dxa" w:w="0"/>
        <w:right w:type="dxa" w:w="0"/>
      </w:tblCellMar>
    </w:tblPr>
  </w:style>
  <w:style w:customStyle="1" w:styleId="ListTable2-Accent6" w:type="table">
    <w:name w:val="List Table 2 - Accent 6"/>
    <w:uiPriority w:val="99"/>
    <w:rPr>
      <w:lang w:eastAsia="zh-CN"/>
    </w:rPr>
    <w:tblPr>
      <w:tblStyleRowBandSize w:val="1"/>
      <w:tblStyleColBandSize w:val="1"/>
      <w:tblInd w:type="dxa" w:w="0"/>
      <w:tblBorders>
        <w:top w:color="FAC396" w:space="0" w:sz="4" w:val="single"/>
        <w:bottom w:color="FAC396" w:space="0" w:sz="4" w:val="single"/>
        <w:insideH w:color="FAC396" w:space="0" w:sz="4" w:val="single"/>
      </w:tblBorders>
      <w:tblCellMar>
        <w:top w:type="dxa" w:w="0"/>
        <w:left w:type="dxa" w:w="0"/>
        <w:bottom w:type="dxa" w:w="0"/>
        <w:right w:type="dxa" w:w="0"/>
      </w:tblCellMar>
    </w:tblPr>
  </w:style>
  <w:style w:styleId="-30" w:type="table">
    <w:name w:val="List Table 3"/>
    <w:uiPriority w:val="99"/>
    <w:rPr>
      <w:lang w:eastAsia="zh-CN"/>
    </w:rPr>
    <w:tblPr>
      <w:tblStyleRowBandSize w:val="1"/>
      <w:tblStyleColBandSize w:val="1"/>
      <w:tblInd w:type="dxa" w:w="0"/>
      <w:tblBorders>
        <w:top w:color="000000" w:space="0" w:sz="4" w:val="single"/>
        <w:left w:color="000000" w:space="0" w:sz="4" w:val="single"/>
        <w:bottom w:color="000000" w:space="0" w:sz="4" w:val="single"/>
        <w:right w:color="000000" w:space="0" w:sz="4" w:val="single"/>
      </w:tblBorders>
      <w:tblCellMar>
        <w:top w:type="dxa" w:w="0"/>
        <w:left w:type="dxa" w:w="0"/>
        <w:bottom w:type="dxa" w:w="0"/>
        <w:right w:type="dxa" w:w="0"/>
      </w:tblCellMar>
    </w:tblPr>
  </w:style>
  <w:style w:customStyle="1" w:styleId="ListTable3-Accent1" w:type="table">
    <w:name w:val="List Table 3 - Accent 1"/>
    <w:uiPriority w:val="99"/>
    <w:rPr>
      <w:lang w:eastAsia="zh-CN"/>
    </w:rPr>
    <w:tblPr>
      <w:tblStyleRowBandSize w:val="1"/>
      <w:tblStyleColBandSize w:val="1"/>
      <w:tblInd w:type="dxa" w:w="0"/>
      <w:tblBorders>
        <w:top w:color="4F81BD" w:space="0" w:sz="4" w:val="single"/>
        <w:left w:color="4F81BD" w:space="0" w:sz="4" w:val="single"/>
        <w:bottom w:color="4F81BD" w:space="0" w:sz="4" w:val="single"/>
        <w:right w:color="4F81BD" w:space="0" w:sz="4" w:val="single"/>
      </w:tblBorders>
      <w:tblCellMar>
        <w:top w:type="dxa" w:w="0"/>
        <w:left w:type="dxa" w:w="0"/>
        <w:bottom w:type="dxa" w:w="0"/>
        <w:right w:type="dxa" w:w="0"/>
      </w:tblCellMar>
    </w:tblPr>
  </w:style>
  <w:style w:customStyle="1" w:styleId="ListTable3-Accent2" w:type="table">
    <w:name w:val="List Table 3 - Accent 2"/>
    <w:uiPriority w:val="99"/>
    <w:rPr>
      <w:lang w:eastAsia="zh-CN"/>
    </w:rPr>
    <w:tblPr>
      <w:tblStyleRowBandSize w:val="1"/>
      <w:tblStyleColBandSize w:val="1"/>
      <w:tblInd w:type="dxa" w:w="0"/>
      <w:tblBorders>
        <w:top w:color="D99695" w:space="0" w:sz="4" w:val="single"/>
        <w:left w:color="D99695" w:space="0" w:sz="4" w:val="single"/>
        <w:bottom w:color="D99695" w:space="0" w:sz="4" w:val="single"/>
        <w:right w:color="D99695" w:space="0" w:sz="4" w:val="single"/>
      </w:tblBorders>
      <w:tblCellMar>
        <w:top w:type="dxa" w:w="0"/>
        <w:left w:type="dxa" w:w="0"/>
        <w:bottom w:type="dxa" w:w="0"/>
        <w:right w:type="dxa" w:w="0"/>
      </w:tblCellMar>
    </w:tblPr>
  </w:style>
  <w:style w:customStyle="1" w:styleId="ListTable3-Accent3" w:type="table">
    <w:name w:val="List Table 3 - Accent 3"/>
    <w:uiPriority w:val="99"/>
    <w:rPr>
      <w:lang w:eastAsia="zh-CN"/>
    </w:rPr>
    <w:tblPr>
      <w:tblStyleRowBandSize w:val="1"/>
      <w:tblStyleColBandSize w:val="1"/>
      <w:tblInd w:type="dxa" w:w="0"/>
      <w:tblBorders>
        <w:top w:color="C3D69B" w:space="0" w:sz="4" w:val="single"/>
        <w:left w:color="C3D69B" w:space="0" w:sz="4" w:val="single"/>
        <w:bottom w:color="C3D69B" w:space="0" w:sz="4" w:val="single"/>
        <w:right w:color="C3D69B" w:space="0" w:sz="4" w:val="single"/>
      </w:tblBorders>
      <w:tblCellMar>
        <w:top w:type="dxa" w:w="0"/>
        <w:left w:type="dxa" w:w="0"/>
        <w:bottom w:type="dxa" w:w="0"/>
        <w:right w:type="dxa" w:w="0"/>
      </w:tblCellMar>
    </w:tblPr>
  </w:style>
  <w:style w:customStyle="1" w:styleId="ListTable3-Accent4" w:type="table">
    <w:name w:val="List Table 3 - Accent 4"/>
    <w:uiPriority w:val="99"/>
    <w:rPr>
      <w:lang w:eastAsia="zh-CN"/>
    </w:rPr>
    <w:tblPr>
      <w:tblStyleRowBandSize w:val="1"/>
      <w:tblStyleColBandSize w:val="1"/>
      <w:tblInd w:type="dxa" w:w="0"/>
      <w:tblBorders>
        <w:top w:color="B2A1C6" w:space="0" w:sz="4" w:val="single"/>
        <w:left w:color="B2A1C6" w:space="0" w:sz="4" w:val="single"/>
        <w:bottom w:color="B2A1C6" w:space="0" w:sz="4" w:val="single"/>
        <w:right w:color="B2A1C6" w:space="0" w:sz="4" w:val="single"/>
      </w:tblBorders>
      <w:tblCellMar>
        <w:top w:type="dxa" w:w="0"/>
        <w:left w:type="dxa" w:w="0"/>
        <w:bottom w:type="dxa" w:w="0"/>
        <w:right w:type="dxa" w:w="0"/>
      </w:tblCellMar>
    </w:tblPr>
  </w:style>
  <w:style w:customStyle="1" w:styleId="ListTable3-Accent5" w:type="table">
    <w:name w:val="List Table 3 - Accent 5"/>
    <w:uiPriority w:val="99"/>
    <w:rPr>
      <w:lang w:eastAsia="zh-CN"/>
    </w:rPr>
    <w:tblPr>
      <w:tblStyleRowBandSize w:val="1"/>
      <w:tblStyleColBandSize w:val="1"/>
      <w:tblInd w:type="dxa" w:w="0"/>
      <w:tblBorders>
        <w:top w:color="92CCDC" w:space="0" w:sz="4" w:val="single"/>
        <w:left w:color="92CCDC" w:space="0" w:sz="4" w:val="single"/>
        <w:bottom w:color="92CCDC" w:space="0" w:sz="4" w:val="single"/>
        <w:right w:color="92CCDC" w:space="0" w:sz="4" w:val="single"/>
      </w:tblBorders>
      <w:tblCellMar>
        <w:top w:type="dxa" w:w="0"/>
        <w:left w:type="dxa" w:w="0"/>
        <w:bottom w:type="dxa" w:w="0"/>
        <w:right w:type="dxa" w:w="0"/>
      </w:tblCellMar>
    </w:tblPr>
  </w:style>
  <w:style w:customStyle="1" w:styleId="ListTable3-Accent6" w:type="table">
    <w:name w:val="List Table 3 - Accent 6"/>
    <w:uiPriority w:val="99"/>
    <w:rPr>
      <w:lang w:eastAsia="zh-CN"/>
    </w:rPr>
    <w:tblPr>
      <w:tblStyleRowBandSize w:val="1"/>
      <w:tblStyleColBandSize w:val="1"/>
      <w:tblInd w:type="dxa" w:w="0"/>
      <w:tblBorders>
        <w:top w:color="FAC090" w:space="0" w:sz="4" w:val="single"/>
        <w:left w:color="FAC090" w:space="0" w:sz="4" w:val="single"/>
        <w:bottom w:color="FAC090" w:space="0" w:sz="4" w:val="single"/>
        <w:right w:color="FAC090" w:space="0" w:sz="4" w:val="single"/>
      </w:tblBorders>
      <w:tblCellMar>
        <w:top w:type="dxa" w:w="0"/>
        <w:left w:type="dxa" w:w="0"/>
        <w:bottom w:type="dxa" w:w="0"/>
        <w:right w:type="dxa" w:w="0"/>
      </w:tblCellMar>
    </w:tblPr>
  </w:style>
  <w:style w:styleId="-40" w:type="table">
    <w:name w:val="List Table 4"/>
    <w:uiPriority w:val="99"/>
    <w:rPr>
      <w:lang w:eastAsia="zh-CN"/>
    </w:rPr>
    <w:tblPr>
      <w:tblStyleRowBandSize w:val="1"/>
      <w:tblStyleColBandSize w:val="1"/>
      <w:tblInd w:type="dxa" w:w="0"/>
      <w:tblBorders>
        <w:top w:color="000000" w:space="0" w:sz="4" w:val="single"/>
        <w:left w:color="000000" w:space="0" w:sz="4" w:val="single"/>
        <w:bottom w:color="000000" w:space="0" w:sz="4" w:val="single"/>
        <w:right w:color="000000" w:space="0" w:sz="4" w:val="single"/>
        <w:insideH w:color="000000" w:space="0" w:sz="4" w:val="single"/>
      </w:tblBorders>
      <w:tblCellMar>
        <w:top w:type="dxa" w:w="0"/>
        <w:left w:type="dxa" w:w="0"/>
        <w:bottom w:type="dxa" w:w="0"/>
        <w:right w:type="dxa" w:w="0"/>
      </w:tblCellMar>
    </w:tblPr>
  </w:style>
  <w:style w:customStyle="1" w:styleId="ListTable4-Accent1" w:type="table">
    <w:name w:val="List Table 4 - Accent 1"/>
    <w:uiPriority w:val="99"/>
    <w:rPr>
      <w:lang w:eastAsia="zh-CN"/>
    </w:rPr>
    <w:tblPr>
      <w:tblStyleRowBandSize w:val="1"/>
      <w:tblStyleColBandSize w:val="1"/>
      <w:tblInd w:type="dxa" w:w="0"/>
      <w:tblBorders>
        <w:top w:color="9BB7D9" w:space="0" w:sz="4" w:val="single"/>
        <w:left w:color="9BB7D9" w:space="0" w:sz="4" w:val="single"/>
        <w:bottom w:color="9BB7D9" w:space="0" w:sz="4" w:val="single"/>
        <w:right w:color="9BB7D9" w:space="0" w:sz="4" w:val="single"/>
        <w:insideH w:color="9BB7D9" w:space="0" w:sz="4" w:val="single"/>
      </w:tblBorders>
      <w:tblCellMar>
        <w:top w:type="dxa" w:w="0"/>
        <w:left w:type="dxa" w:w="0"/>
        <w:bottom w:type="dxa" w:w="0"/>
        <w:right w:type="dxa" w:w="0"/>
      </w:tblCellMar>
    </w:tblPr>
  </w:style>
  <w:style w:customStyle="1" w:styleId="ListTable4-Accent2" w:type="table">
    <w:name w:val="List Table 4 - Accent 2"/>
    <w:uiPriority w:val="99"/>
    <w:rPr>
      <w:lang w:eastAsia="zh-CN"/>
    </w:rPr>
    <w:tblPr>
      <w:tblStyleRowBandSize w:val="1"/>
      <w:tblStyleColBandSize w:val="1"/>
      <w:tblInd w:type="dxa" w:w="0"/>
      <w:tblBorders>
        <w:top w:color="DB9B9A" w:space="0" w:sz="4" w:val="single"/>
        <w:left w:color="DB9B9A" w:space="0" w:sz="4" w:val="single"/>
        <w:bottom w:color="DB9B9A" w:space="0" w:sz="4" w:val="single"/>
        <w:right w:color="DB9B9A" w:space="0" w:sz="4" w:val="single"/>
        <w:insideH w:color="DB9B9A" w:space="0" w:sz="4" w:val="single"/>
      </w:tblBorders>
      <w:tblCellMar>
        <w:top w:type="dxa" w:w="0"/>
        <w:left w:type="dxa" w:w="0"/>
        <w:bottom w:type="dxa" w:w="0"/>
        <w:right w:type="dxa" w:w="0"/>
      </w:tblCellMar>
    </w:tblPr>
  </w:style>
  <w:style w:customStyle="1" w:styleId="ListTable4-Accent3" w:type="table">
    <w:name w:val="List Table 4 - Accent 3"/>
    <w:uiPriority w:val="99"/>
    <w:rPr>
      <w:lang w:eastAsia="zh-CN"/>
    </w:rPr>
    <w:tblPr>
      <w:tblStyleRowBandSize w:val="1"/>
      <w:tblStyleColBandSize w:val="1"/>
      <w:tblInd w:type="dxa" w:w="0"/>
      <w:tblBorders>
        <w:top w:color="C6D8A1" w:space="0" w:sz="4" w:val="single"/>
        <w:left w:color="C6D8A1" w:space="0" w:sz="4" w:val="single"/>
        <w:bottom w:color="C6D8A1" w:space="0" w:sz="4" w:val="single"/>
        <w:right w:color="C6D8A1" w:space="0" w:sz="4" w:val="single"/>
        <w:insideH w:color="C6D8A1" w:space="0" w:sz="4" w:val="single"/>
      </w:tblBorders>
      <w:tblCellMar>
        <w:top w:type="dxa" w:w="0"/>
        <w:left w:type="dxa" w:w="0"/>
        <w:bottom w:type="dxa" w:w="0"/>
        <w:right w:type="dxa" w:w="0"/>
      </w:tblCellMar>
    </w:tblPr>
  </w:style>
  <w:style w:customStyle="1" w:styleId="ListTable4-Accent4" w:type="table">
    <w:name w:val="List Table 4 - Accent 4"/>
    <w:uiPriority w:val="99"/>
    <w:rPr>
      <w:lang w:eastAsia="zh-CN"/>
    </w:rPr>
    <w:tblPr>
      <w:tblStyleRowBandSize w:val="1"/>
      <w:tblStyleColBandSize w:val="1"/>
      <w:tblInd w:type="dxa" w:w="0"/>
      <w:tblBorders>
        <w:top w:color="B7A7CA" w:space="0" w:sz="4" w:val="single"/>
        <w:left w:color="B7A7CA" w:space="0" w:sz="4" w:val="single"/>
        <w:bottom w:color="B7A7CA" w:space="0" w:sz="4" w:val="single"/>
        <w:right w:color="B7A7CA" w:space="0" w:sz="4" w:val="single"/>
        <w:insideH w:color="B7A7CA" w:space="0" w:sz="4" w:val="single"/>
      </w:tblBorders>
      <w:tblCellMar>
        <w:top w:type="dxa" w:w="0"/>
        <w:left w:type="dxa" w:w="0"/>
        <w:bottom w:type="dxa" w:w="0"/>
        <w:right w:type="dxa" w:w="0"/>
      </w:tblCellMar>
    </w:tblPr>
  </w:style>
  <w:style w:customStyle="1" w:styleId="ListTable4-Accent5" w:type="table">
    <w:name w:val="List Table 4 - Accent 5"/>
    <w:uiPriority w:val="99"/>
    <w:rPr>
      <w:lang w:eastAsia="zh-CN"/>
    </w:rPr>
    <w:tblPr>
      <w:tblStyleRowBandSize w:val="1"/>
      <w:tblStyleColBandSize w:val="1"/>
      <w:tblInd w:type="dxa" w:w="0"/>
      <w:tblBorders>
        <w:top w:color="99D0DE" w:space="0" w:sz="4" w:val="single"/>
        <w:left w:color="99D0DE" w:space="0" w:sz="4" w:val="single"/>
        <w:bottom w:color="99D0DE" w:space="0" w:sz="4" w:val="single"/>
        <w:right w:color="99D0DE" w:space="0" w:sz="4" w:val="single"/>
        <w:insideH w:color="99D0DE" w:space="0" w:sz="4" w:val="single"/>
      </w:tblBorders>
      <w:tblCellMar>
        <w:top w:type="dxa" w:w="0"/>
        <w:left w:type="dxa" w:w="0"/>
        <w:bottom w:type="dxa" w:w="0"/>
        <w:right w:type="dxa" w:w="0"/>
      </w:tblCellMar>
    </w:tblPr>
  </w:style>
  <w:style w:customStyle="1" w:styleId="ListTable4-Accent6" w:type="table">
    <w:name w:val="List Table 4 - Accent 6"/>
    <w:uiPriority w:val="99"/>
    <w:rPr>
      <w:lang w:eastAsia="zh-CN"/>
    </w:rPr>
    <w:tblPr>
      <w:tblStyleRowBandSize w:val="1"/>
      <w:tblStyleColBandSize w:val="1"/>
      <w:tblInd w:type="dxa" w:w="0"/>
      <w:tblBorders>
        <w:top w:color="FAC396" w:space="0" w:sz="4" w:val="single"/>
        <w:left w:color="FAC396" w:space="0" w:sz="4" w:val="single"/>
        <w:bottom w:color="FAC396" w:space="0" w:sz="4" w:val="single"/>
        <w:right w:color="FAC396" w:space="0" w:sz="4" w:val="single"/>
        <w:insideH w:color="FAC396" w:space="0" w:sz="4" w:val="single"/>
      </w:tblBorders>
      <w:tblCellMar>
        <w:top w:type="dxa" w:w="0"/>
        <w:left w:type="dxa" w:w="0"/>
        <w:bottom w:type="dxa" w:w="0"/>
        <w:right w:type="dxa" w:w="0"/>
      </w:tblCellMar>
    </w:tblPr>
  </w:style>
  <w:style w:styleId="-50" w:type="table">
    <w:name w:val="List Table 5 Dark"/>
    <w:uiPriority w:val="99"/>
    <w:rPr>
      <w:lang w:eastAsia="zh-CN"/>
    </w:rPr>
    <w:tblPr>
      <w:tblStyleRowBandSize w:val="1"/>
      <w:tblStyleColBandSize w:val="1"/>
      <w:tblInd w:type="dxa" w:w="0"/>
      <w:tblBorders>
        <w:top w:color="7F7F7F" w:space="0" w:sz="32" w:val="single"/>
        <w:left w:color="7F7F7F" w:space="0" w:sz="32" w:val="single"/>
        <w:bottom w:color="7F7F7F" w:space="0" w:sz="32" w:val="single"/>
        <w:right w:color="7F7F7F" w:space="0" w:sz="32" w:val="single"/>
      </w:tblBorders>
      <w:shd w:color="7F7F7F" w:fill="7F7F7F" w:val="clear"/>
      <w:tblCellMar>
        <w:top w:type="dxa" w:w="0"/>
        <w:left w:type="dxa" w:w="0"/>
        <w:bottom w:type="dxa" w:w="0"/>
        <w:right w:type="dxa" w:w="0"/>
      </w:tblCellMar>
    </w:tblPr>
  </w:style>
  <w:style w:customStyle="1" w:styleId="ListTable5Dark-Accent1" w:type="table">
    <w:name w:val="List Table 5 Dark - Accent 1"/>
    <w:uiPriority w:val="99"/>
    <w:rPr>
      <w:lang w:eastAsia="zh-CN"/>
    </w:rPr>
    <w:tblPr>
      <w:tblStyleRowBandSize w:val="1"/>
      <w:tblStyleColBandSize w:val="1"/>
      <w:tblInd w:type="dxa" w:w="0"/>
      <w:tblBorders>
        <w:top w:color="4F81BD" w:space="0" w:sz="32" w:val="single"/>
        <w:left w:color="4F81BD" w:space="0" w:sz="32" w:val="single"/>
        <w:bottom w:color="4F81BD" w:space="0" w:sz="32" w:val="single"/>
        <w:right w:color="4F81BD" w:space="0" w:sz="32" w:val="single"/>
      </w:tblBorders>
      <w:shd w:color="4F81BD" w:fill="4F81BD" w:val="clear"/>
      <w:tblCellMar>
        <w:top w:type="dxa" w:w="0"/>
        <w:left w:type="dxa" w:w="0"/>
        <w:bottom w:type="dxa" w:w="0"/>
        <w:right w:type="dxa" w:w="0"/>
      </w:tblCellMar>
    </w:tblPr>
  </w:style>
  <w:style w:customStyle="1" w:styleId="ListTable5Dark-Accent2" w:type="table">
    <w:name w:val="List Table 5 Dark - Accent 2"/>
    <w:uiPriority w:val="99"/>
    <w:rPr>
      <w:lang w:eastAsia="zh-CN"/>
    </w:rPr>
    <w:tblPr>
      <w:tblStyleRowBandSize w:val="1"/>
      <w:tblStyleColBandSize w:val="1"/>
      <w:tblInd w:type="dxa" w:w="0"/>
      <w:tblBorders>
        <w:top w:color="D99695" w:space="0" w:sz="32" w:val="single"/>
        <w:left w:color="D99695" w:space="0" w:sz="32" w:val="single"/>
        <w:bottom w:color="D99695" w:space="0" w:sz="32" w:val="single"/>
        <w:right w:color="D99695" w:space="0" w:sz="32" w:val="single"/>
      </w:tblBorders>
      <w:shd w:color="D99695" w:fill="D99695" w:val="clear"/>
      <w:tblCellMar>
        <w:top w:type="dxa" w:w="0"/>
        <w:left w:type="dxa" w:w="0"/>
        <w:bottom w:type="dxa" w:w="0"/>
        <w:right w:type="dxa" w:w="0"/>
      </w:tblCellMar>
    </w:tblPr>
  </w:style>
  <w:style w:customStyle="1" w:styleId="ListTable5Dark-Accent3" w:type="table">
    <w:name w:val="List Table 5 Dark - Accent 3"/>
    <w:uiPriority w:val="99"/>
    <w:rPr>
      <w:lang w:eastAsia="zh-CN"/>
    </w:rPr>
    <w:tblPr>
      <w:tblStyleRowBandSize w:val="1"/>
      <w:tblStyleColBandSize w:val="1"/>
      <w:tblInd w:type="dxa" w:w="0"/>
      <w:tblBorders>
        <w:top w:color="C3D69B" w:space="0" w:sz="32" w:val="single"/>
        <w:left w:color="C3D69B" w:space="0" w:sz="32" w:val="single"/>
        <w:bottom w:color="C3D69B" w:space="0" w:sz="32" w:val="single"/>
        <w:right w:color="C3D69B" w:space="0" w:sz="32" w:val="single"/>
      </w:tblBorders>
      <w:shd w:color="C3D69B" w:fill="C3D69B" w:val="clear"/>
      <w:tblCellMar>
        <w:top w:type="dxa" w:w="0"/>
        <w:left w:type="dxa" w:w="0"/>
        <w:bottom w:type="dxa" w:w="0"/>
        <w:right w:type="dxa" w:w="0"/>
      </w:tblCellMar>
    </w:tblPr>
  </w:style>
  <w:style w:customStyle="1" w:styleId="ListTable5Dark-Accent4" w:type="table">
    <w:name w:val="List Table 5 Dark - Accent 4"/>
    <w:uiPriority w:val="99"/>
    <w:rPr>
      <w:lang w:eastAsia="zh-CN"/>
    </w:rPr>
    <w:tblPr>
      <w:tblStyleRowBandSize w:val="1"/>
      <w:tblStyleColBandSize w:val="1"/>
      <w:tblInd w:type="dxa" w:w="0"/>
      <w:tblBorders>
        <w:top w:color="B2A1C6" w:space="0" w:sz="32" w:val="single"/>
        <w:left w:color="B2A1C6" w:space="0" w:sz="32" w:val="single"/>
        <w:bottom w:color="B2A1C6" w:space="0" w:sz="32" w:val="single"/>
        <w:right w:color="B2A1C6" w:space="0" w:sz="32" w:val="single"/>
      </w:tblBorders>
      <w:shd w:color="B2A1C6" w:fill="B2A1C6" w:val="clear"/>
      <w:tblCellMar>
        <w:top w:type="dxa" w:w="0"/>
        <w:left w:type="dxa" w:w="0"/>
        <w:bottom w:type="dxa" w:w="0"/>
        <w:right w:type="dxa" w:w="0"/>
      </w:tblCellMar>
    </w:tblPr>
  </w:style>
  <w:style w:customStyle="1" w:styleId="ListTable5Dark-Accent5" w:type="table">
    <w:name w:val="List Table 5 Dark - Accent 5"/>
    <w:uiPriority w:val="99"/>
    <w:rPr>
      <w:lang w:eastAsia="zh-CN"/>
    </w:rPr>
    <w:tblPr>
      <w:tblStyleRowBandSize w:val="1"/>
      <w:tblStyleColBandSize w:val="1"/>
      <w:tblInd w:type="dxa" w:w="0"/>
      <w:tblBorders>
        <w:top w:color="92CCDC" w:space="0" w:sz="32" w:val="single"/>
        <w:left w:color="92CCDC" w:space="0" w:sz="32" w:val="single"/>
        <w:bottom w:color="92CCDC" w:space="0" w:sz="32" w:val="single"/>
        <w:right w:color="92CCDC" w:space="0" w:sz="32" w:val="single"/>
      </w:tblBorders>
      <w:shd w:color="92CCDC" w:fill="92CCDC" w:val="clear"/>
      <w:tblCellMar>
        <w:top w:type="dxa" w:w="0"/>
        <w:left w:type="dxa" w:w="0"/>
        <w:bottom w:type="dxa" w:w="0"/>
        <w:right w:type="dxa" w:w="0"/>
      </w:tblCellMar>
    </w:tblPr>
  </w:style>
  <w:style w:customStyle="1" w:styleId="ListTable5Dark-Accent6" w:type="table">
    <w:name w:val="List Table 5 Dark - Accent 6"/>
    <w:uiPriority w:val="99"/>
    <w:rPr>
      <w:lang w:eastAsia="zh-CN"/>
    </w:rPr>
    <w:tblPr>
      <w:tblStyleRowBandSize w:val="1"/>
      <w:tblStyleColBandSize w:val="1"/>
      <w:tblInd w:type="dxa" w:w="0"/>
      <w:tblBorders>
        <w:top w:color="FAC090" w:space="0" w:sz="32" w:val="single"/>
        <w:left w:color="FAC090" w:space="0" w:sz="32" w:val="single"/>
        <w:bottom w:color="FAC090" w:space="0" w:sz="32" w:val="single"/>
        <w:right w:color="FAC090" w:space="0" w:sz="32" w:val="single"/>
      </w:tblBorders>
      <w:shd w:color="FAC090" w:fill="FAC090" w:val="clear"/>
      <w:tblCellMar>
        <w:top w:type="dxa" w:w="0"/>
        <w:left w:type="dxa" w:w="0"/>
        <w:bottom w:type="dxa" w:w="0"/>
        <w:right w:type="dxa" w:w="0"/>
      </w:tblCellMar>
    </w:tblPr>
  </w:style>
  <w:style w:styleId="-60" w:type="table">
    <w:name w:val="List Table 6 Colorful"/>
    <w:uiPriority w:val="99"/>
    <w:rPr>
      <w:lang w:eastAsia="zh-CN"/>
    </w:rPr>
    <w:tblPr>
      <w:tblStyleRowBandSize w:val="1"/>
      <w:tblStyleColBandSize w:val="1"/>
      <w:tblInd w:type="dxa" w:w="0"/>
      <w:tblBorders>
        <w:top w:color="7F7F7F" w:space="0" w:sz="4" w:val="single"/>
        <w:bottom w:color="7F7F7F" w:space="0" w:sz="4" w:val="single"/>
      </w:tblBorders>
      <w:tblCellMar>
        <w:top w:type="dxa" w:w="0"/>
        <w:left w:type="dxa" w:w="0"/>
        <w:bottom w:type="dxa" w:w="0"/>
        <w:right w:type="dxa" w:w="0"/>
      </w:tblCellMar>
    </w:tblPr>
  </w:style>
  <w:style w:customStyle="1" w:styleId="ListTable6Colorful-Accent1" w:type="table">
    <w:name w:val="List Table 6 Colorful - Accent 1"/>
    <w:uiPriority w:val="99"/>
    <w:rPr>
      <w:lang w:eastAsia="zh-CN"/>
    </w:rPr>
    <w:tblPr>
      <w:tblStyleRowBandSize w:val="1"/>
      <w:tblStyleColBandSize w:val="1"/>
      <w:tblInd w:type="dxa" w:w="0"/>
      <w:tblBorders>
        <w:top w:color="4F81BD" w:space="0" w:sz="4" w:val="single"/>
        <w:bottom w:color="4F81BD" w:space="0" w:sz="4" w:val="single"/>
      </w:tblBorders>
      <w:tblCellMar>
        <w:top w:type="dxa" w:w="0"/>
        <w:left w:type="dxa" w:w="0"/>
        <w:bottom w:type="dxa" w:w="0"/>
        <w:right w:type="dxa" w:w="0"/>
      </w:tblCellMar>
    </w:tblPr>
  </w:style>
  <w:style w:customStyle="1" w:styleId="ListTable6Colorful-Accent2" w:type="table">
    <w:name w:val="List Table 6 Colorful - Accent 2"/>
    <w:uiPriority w:val="99"/>
    <w:rPr>
      <w:lang w:eastAsia="zh-CN"/>
    </w:rPr>
    <w:tblPr>
      <w:tblStyleRowBandSize w:val="1"/>
      <w:tblStyleColBandSize w:val="1"/>
      <w:tblInd w:type="dxa" w:w="0"/>
      <w:tblBorders>
        <w:top w:color="D99695" w:space="0" w:sz="4" w:val="single"/>
        <w:bottom w:color="D99695" w:space="0" w:sz="4" w:val="single"/>
      </w:tblBorders>
      <w:tblCellMar>
        <w:top w:type="dxa" w:w="0"/>
        <w:left w:type="dxa" w:w="0"/>
        <w:bottom w:type="dxa" w:w="0"/>
        <w:right w:type="dxa" w:w="0"/>
      </w:tblCellMar>
    </w:tblPr>
  </w:style>
  <w:style w:customStyle="1" w:styleId="ListTable6Colorful-Accent3" w:type="table">
    <w:name w:val="List Table 6 Colorful - Accent 3"/>
    <w:uiPriority w:val="99"/>
    <w:rPr>
      <w:lang w:eastAsia="zh-CN"/>
    </w:rPr>
    <w:tblPr>
      <w:tblStyleRowBandSize w:val="1"/>
      <w:tblStyleColBandSize w:val="1"/>
      <w:tblInd w:type="dxa" w:w="0"/>
      <w:tblBorders>
        <w:top w:color="C3D69B" w:space="0" w:sz="4" w:val="single"/>
        <w:bottom w:color="C3D69B" w:space="0" w:sz="4" w:val="single"/>
      </w:tblBorders>
      <w:tblCellMar>
        <w:top w:type="dxa" w:w="0"/>
        <w:left w:type="dxa" w:w="0"/>
        <w:bottom w:type="dxa" w:w="0"/>
        <w:right w:type="dxa" w:w="0"/>
      </w:tblCellMar>
    </w:tblPr>
  </w:style>
  <w:style w:customStyle="1" w:styleId="ListTable6Colorful-Accent4" w:type="table">
    <w:name w:val="List Table 6 Colorful - Accent 4"/>
    <w:uiPriority w:val="99"/>
    <w:rPr>
      <w:lang w:eastAsia="zh-CN"/>
    </w:rPr>
    <w:tblPr>
      <w:tblStyleRowBandSize w:val="1"/>
      <w:tblStyleColBandSize w:val="1"/>
      <w:tblInd w:type="dxa" w:w="0"/>
      <w:tblBorders>
        <w:top w:color="B2A1C6" w:space="0" w:sz="4" w:val="single"/>
        <w:bottom w:color="B2A1C6" w:space="0" w:sz="4" w:val="single"/>
      </w:tblBorders>
      <w:tblCellMar>
        <w:top w:type="dxa" w:w="0"/>
        <w:left w:type="dxa" w:w="0"/>
        <w:bottom w:type="dxa" w:w="0"/>
        <w:right w:type="dxa" w:w="0"/>
      </w:tblCellMar>
    </w:tblPr>
  </w:style>
  <w:style w:customStyle="1" w:styleId="ListTable6Colorful-Accent5" w:type="table">
    <w:name w:val="List Table 6 Colorful - Accent 5"/>
    <w:uiPriority w:val="99"/>
    <w:rPr>
      <w:lang w:eastAsia="zh-CN"/>
    </w:rPr>
    <w:tblPr>
      <w:tblStyleRowBandSize w:val="1"/>
      <w:tblStyleColBandSize w:val="1"/>
      <w:tblInd w:type="dxa" w:w="0"/>
      <w:tblBorders>
        <w:top w:color="92CCDC" w:space="0" w:sz="4" w:val="single"/>
        <w:bottom w:color="92CCDC" w:space="0" w:sz="4" w:val="single"/>
      </w:tblBorders>
      <w:tblCellMar>
        <w:top w:type="dxa" w:w="0"/>
        <w:left w:type="dxa" w:w="0"/>
        <w:bottom w:type="dxa" w:w="0"/>
        <w:right w:type="dxa" w:w="0"/>
      </w:tblCellMar>
    </w:tblPr>
  </w:style>
  <w:style w:customStyle="1" w:styleId="ListTable6Colorful-Accent6" w:type="table">
    <w:name w:val="List Table 6 Colorful - Accent 6"/>
    <w:uiPriority w:val="99"/>
    <w:rPr>
      <w:lang w:eastAsia="zh-CN"/>
    </w:rPr>
    <w:tblPr>
      <w:tblStyleRowBandSize w:val="1"/>
      <w:tblStyleColBandSize w:val="1"/>
      <w:tblInd w:type="dxa" w:w="0"/>
      <w:tblBorders>
        <w:top w:color="FAC090" w:space="0" w:sz="4" w:val="single"/>
        <w:bottom w:color="FAC090" w:space="0" w:sz="4" w:val="single"/>
      </w:tblBorders>
      <w:tblCellMar>
        <w:top w:type="dxa" w:w="0"/>
        <w:left w:type="dxa" w:w="0"/>
        <w:bottom w:type="dxa" w:w="0"/>
        <w:right w:type="dxa" w:w="0"/>
      </w:tblCellMar>
    </w:tblPr>
  </w:style>
  <w:style w:styleId="-70" w:type="table">
    <w:name w:val="List Table 7 Colorful"/>
    <w:uiPriority w:val="99"/>
    <w:rPr>
      <w:lang w:eastAsia="zh-CN"/>
    </w:rPr>
    <w:tblPr>
      <w:tblStyleRowBandSize w:val="1"/>
      <w:tblStyleColBandSize w:val="1"/>
      <w:tblInd w:type="dxa" w:w="0"/>
      <w:tblBorders>
        <w:right w:color="7F7F7F" w:space="0" w:sz="4" w:val="single"/>
      </w:tblBorders>
      <w:tblCellMar>
        <w:top w:type="dxa" w:w="0"/>
        <w:left w:type="dxa" w:w="0"/>
        <w:bottom w:type="dxa" w:w="0"/>
        <w:right w:type="dxa" w:w="0"/>
      </w:tblCellMar>
    </w:tblPr>
  </w:style>
  <w:style w:customStyle="1" w:styleId="ListTable7Colorful-Accent1" w:type="table">
    <w:name w:val="List Table 7 Colorful - Accent 1"/>
    <w:uiPriority w:val="99"/>
    <w:rPr>
      <w:lang w:eastAsia="zh-CN"/>
    </w:rPr>
    <w:tblPr>
      <w:tblStyleRowBandSize w:val="1"/>
      <w:tblStyleColBandSize w:val="1"/>
      <w:tblInd w:type="dxa" w:w="0"/>
      <w:tblBorders>
        <w:right w:color="4F81BD" w:space="0" w:sz="4" w:val="single"/>
      </w:tblBorders>
      <w:tblCellMar>
        <w:top w:type="dxa" w:w="0"/>
        <w:left w:type="dxa" w:w="0"/>
        <w:bottom w:type="dxa" w:w="0"/>
        <w:right w:type="dxa" w:w="0"/>
      </w:tblCellMar>
    </w:tblPr>
  </w:style>
  <w:style w:customStyle="1" w:styleId="ListTable7Colorful-Accent2" w:type="table">
    <w:name w:val="List Table 7 Colorful - Accent 2"/>
    <w:uiPriority w:val="99"/>
    <w:rPr>
      <w:lang w:eastAsia="zh-CN"/>
    </w:rPr>
    <w:tblPr>
      <w:tblStyleRowBandSize w:val="1"/>
      <w:tblStyleColBandSize w:val="1"/>
      <w:tblInd w:type="dxa" w:w="0"/>
      <w:tblBorders>
        <w:right w:color="D99695" w:space="0" w:sz="4" w:val="single"/>
      </w:tblBorders>
      <w:tblCellMar>
        <w:top w:type="dxa" w:w="0"/>
        <w:left w:type="dxa" w:w="0"/>
        <w:bottom w:type="dxa" w:w="0"/>
        <w:right w:type="dxa" w:w="0"/>
      </w:tblCellMar>
    </w:tblPr>
  </w:style>
  <w:style w:customStyle="1" w:styleId="ListTable7Colorful-Accent3" w:type="table">
    <w:name w:val="List Table 7 Colorful - Accent 3"/>
    <w:uiPriority w:val="99"/>
    <w:rPr>
      <w:lang w:eastAsia="zh-CN"/>
    </w:rPr>
    <w:tblPr>
      <w:tblStyleRowBandSize w:val="1"/>
      <w:tblStyleColBandSize w:val="1"/>
      <w:tblInd w:type="dxa" w:w="0"/>
      <w:tblBorders>
        <w:right w:color="C3D69B" w:space="0" w:sz="4" w:val="single"/>
      </w:tblBorders>
      <w:tblCellMar>
        <w:top w:type="dxa" w:w="0"/>
        <w:left w:type="dxa" w:w="0"/>
        <w:bottom w:type="dxa" w:w="0"/>
        <w:right w:type="dxa" w:w="0"/>
      </w:tblCellMar>
    </w:tblPr>
  </w:style>
  <w:style w:customStyle="1" w:styleId="ListTable7Colorful-Accent4" w:type="table">
    <w:name w:val="List Table 7 Colorful - Accent 4"/>
    <w:uiPriority w:val="99"/>
    <w:rPr>
      <w:lang w:eastAsia="zh-CN"/>
    </w:rPr>
    <w:tblPr>
      <w:tblStyleRowBandSize w:val="1"/>
      <w:tblStyleColBandSize w:val="1"/>
      <w:tblInd w:type="dxa" w:w="0"/>
      <w:tblBorders>
        <w:right w:color="B2A1C6" w:space="0" w:sz="4" w:val="single"/>
      </w:tblBorders>
      <w:tblCellMar>
        <w:top w:type="dxa" w:w="0"/>
        <w:left w:type="dxa" w:w="0"/>
        <w:bottom w:type="dxa" w:w="0"/>
        <w:right w:type="dxa" w:w="0"/>
      </w:tblCellMar>
    </w:tblPr>
  </w:style>
  <w:style w:customStyle="1" w:styleId="ListTable7Colorful-Accent5" w:type="table">
    <w:name w:val="List Table 7 Colorful - Accent 5"/>
    <w:uiPriority w:val="99"/>
    <w:rPr>
      <w:lang w:eastAsia="zh-CN"/>
    </w:rPr>
    <w:tblPr>
      <w:tblStyleRowBandSize w:val="1"/>
      <w:tblStyleColBandSize w:val="1"/>
      <w:tblInd w:type="dxa" w:w="0"/>
      <w:tblBorders>
        <w:right w:color="92CCDC" w:space="0" w:sz="4" w:val="single"/>
      </w:tblBorders>
      <w:tblCellMar>
        <w:top w:type="dxa" w:w="0"/>
        <w:left w:type="dxa" w:w="0"/>
        <w:bottom w:type="dxa" w:w="0"/>
        <w:right w:type="dxa" w:w="0"/>
      </w:tblCellMar>
    </w:tblPr>
  </w:style>
  <w:style w:customStyle="1" w:styleId="ListTable7Colorful-Accent6" w:type="table">
    <w:name w:val="List Table 7 Colorful - Accent 6"/>
    <w:uiPriority w:val="99"/>
    <w:rPr>
      <w:lang w:eastAsia="zh-CN"/>
    </w:rPr>
    <w:tblPr>
      <w:tblStyleRowBandSize w:val="1"/>
      <w:tblStyleColBandSize w:val="1"/>
      <w:tblInd w:type="dxa" w:w="0"/>
      <w:tblBorders>
        <w:right w:color="FAC090" w:space="0" w:sz="4" w:val="single"/>
      </w:tblBorders>
      <w:tblCellMar>
        <w:top w:type="dxa" w:w="0"/>
        <w:left w:type="dxa" w:w="0"/>
        <w:bottom w:type="dxa" w:w="0"/>
        <w:right w:type="dxa" w:w="0"/>
      </w:tblCellMar>
    </w:tblPr>
  </w:style>
  <w:style w:customStyle="1" w:styleId="Lined-Accent" w:type="table">
    <w:name w:val="Lined - Accent"/>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1" w:type="table">
    <w:name w:val="Lined - Accent 1"/>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2" w:type="table">
    <w:name w:val="Lined - Accent 2"/>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3" w:type="table">
    <w:name w:val="Lined - Accent 3"/>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4" w:type="table">
    <w:name w:val="Lined - Accent 4"/>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5" w:type="table">
    <w:name w:val="Lined - Accent 5"/>
    <w:uiPriority w:val="99"/>
    <w:rPr>
      <w:color w:val="404040"/>
    </w:rPr>
    <w:tblPr>
      <w:tblStyleRowBandSize w:val="1"/>
      <w:tblStyleColBandSize w:val="1"/>
      <w:tblInd w:type="dxa" w:w="0"/>
      <w:tblCellMar>
        <w:top w:type="dxa" w:w="0"/>
        <w:left w:type="dxa" w:w="0"/>
        <w:bottom w:type="dxa" w:w="0"/>
        <w:right w:type="dxa" w:w="0"/>
      </w:tblCellMar>
    </w:tblPr>
  </w:style>
  <w:style w:customStyle="1" w:styleId="Lined-Accent6" w:type="table">
    <w:name w:val="Lined - Accent 6"/>
    <w:uiPriority w:val="99"/>
    <w:rPr>
      <w:color w:val="404040"/>
    </w:rPr>
    <w:tblPr>
      <w:tblStyleRowBandSize w:val="1"/>
      <w:tblStyleColBandSize w:val="1"/>
      <w:tblInd w:type="dxa" w:w="0"/>
      <w:tblCellMar>
        <w:top w:type="dxa" w:w="0"/>
        <w:left w:type="dxa" w:w="0"/>
        <w:bottom w:type="dxa" w:w="0"/>
        <w:right w:type="dxa" w:w="0"/>
      </w:tblCellMar>
    </w:tblPr>
  </w:style>
  <w:style w:customStyle="1" w:styleId="BorderedLined-Accent" w:type="table">
    <w:name w:val="Bordered &amp; Lined - Accent"/>
    <w:uiPriority w:val="99"/>
    <w:rPr>
      <w:color w:val="404040"/>
    </w:rPr>
    <w:tblPr>
      <w:tblStyleRowBandSize w:val="1"/>
      <w:tblStyleColBandSize w:val="1"/>
      <w:tblInd w:type="dxa" w:w="0"/>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type="dxa" w:w="0"/>
        <w:left w:type="dxa" w:w="0"/>
        <w:bottom w:type="dxa" w:w="0"/>
        <w:right w:type="dxa" w:w="0"/>
      </w:tblCellMar>
    </w:tblPr>
  </w:style>
  <w:style w:customStyle="1" w:styleId="BorderedLined-Accent1" w:type="table">
    <w:name w:val="Bordered &amp; Lined - Accent 1"/>
    <w:uiPriority w:val="99"/>
    <w:rPr>
      <w:color w:val="404040"/>
    </w:rPr>
    <w:tblPr>
      <w:tblStyleRowBandSize w:val="1"/>
      <w:tblStyleColBandSize w:val="1"/>
      <w:tblInd w:type="dxa" w:w="0"/>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type="dxa" w:w="0"/>
        <w:left w:type="dxa" w:w="0"/>
        <w:bottom w:type="dxa" w:w="0"/>
        <w:right w:type="dxa" w:w="0"/>
      </w:tblCellMar>
    </w:tblPr>
  </w:style>
  <w:style w:customStyle="1" w:styleId="BorderedLined-Accent2" w:type="table">
    <w:name w:val="Bordered &amp; Lined - Accent 2"/>
    <w:uiPriority w:val="99"/>
    <w:rPr>
      <w:color w:val="404040"/>
    </w:rPr>
    <w:tblPr>
      <w:tblStyleRowBandSize w:val="1"/>
      <w:tblStyleColBandSize w:val="1"/>
      <w:tblInd w:type="dxa" w:w="0"/>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type="dxa" w:w="0"/>
        <w:left w:type="dxa" w:w="0"/>
        <w:bottom w:type="dxa" w:w="0"/>
        <w:right w:type="dxa" w:w="0"/>
      </w:tblCellMar>
    </w:tblPr>
  </w:style>
  <w:style w:customStyle="1" w:styleId="BorderedLined-Accent3" w:type="table">
    <w:name w:val="Bordered &amp; Lined - Accent 3"/>
    <w:uiPriority w:val="99"/>
    <w:rPr>
      <w:color w:val="404040"/>
    </w:rPr>
    <w:tblPr>
      <w:tblStyleRowBandSize w:val="1"/>
      <w:tblStyleColBandSize w:val="1"/>
      <w:tblInd w:type="dxa" w:w="0"/>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type="dxa" w:w="0"/>
        <w:left w:type="dxa" w:w="0"/>
        <w:bottom w:type="dxa" w:w="0"/>
        <w:right w:type="dxa" w:w="0"/>
      </w:tblCellMar>
    </w:tblPr>
  </w:style>
  <w:style w:customStyle="1" w:styleId="BorderedLined-Accent4" w:type="table">
    <w:name w:val="Bordered &amp; Lined - Accent 4"/>
    <w:uiPriority w:val="99"/>
    <w:rPr>
      <w:color w:val="404040"/>
    </w:rPr>
    <w:tblPr>
      <w:tblStyleRowBandSize w:val="1"/>
      <w:tblStyleColBandSize w:val="1"/>
      <w:tblInd w:type="dxa" w:w="0"/>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type="dxa" w:w="0"/>
        <w:left w:type="dxa" w:w="0"/>
        <w:bottom w:type="dxa" w:w="0"/>
        <w:right w:type="dxa" w:w="0"/>
      </w:tblCellMar>
    </w:tblPr>
  </w:style>
  <w:style w:customStyle="1" w:styleId="BorderedLined-Accent5" w:type="table">
    <w:name w:val="Bordered &amp; Lined - Accent 5"/>
    <w:uiPriority w:val="99"/>
    <w:rPr>
      <w:color w:val="404040"/>
    </w:rPr>
    <w:tblPr>
      <w:tblStyleRowBandSize w:val="1"/>
      <w:tblStyleColBandSize w:val="1"/>
      <w:tblInd w:type="dxa" w:w="0"/>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type="dxa" w:w="0"/>
        <w:left w:type="dxa" w:w="0"/>
        <w:bottom w:type="dxa" w:w="0"/>
        <w:right w:type="dxa" w:w="0"/>
      </w:tblCellMar>
    </w:tblPr>
  </w:style>
  <w:style w:customStyle="1" w:styleId="BorderedLined-Accent6" w:type="table">
    <w:name w:val="Bordered &amp; Lined - Accent 6"/>
    <w:uiPriority w:val="99"/>
    <w:rPr>
      <w:color w:val="404040"/>
    </w:rPr>
    <w:tblPr>
      <w:tblStyleRowBandSize w:val="1"/>
      <w:tblStyleColBandSize w:val="1"/>
      <w:tblInd w:type="dxa" w:w="0"/>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type="dxa" w:w="0"/>
        <w:left w:type="dxa" w:w="0"/>
        <w:bottom w:type="dxa" w:w="0"/>
        <w:right w:type="dxa" w:w="0"/>
      </w:tblCellMar>
    </w:tblPr>
  </w:style>
  <w:style w:customStyle="1" w:styleId="Bordered" w:type="table">
    <w:name w:val="Bordered"/>
    <w:uiPriority w:val="99"/>
    <w:rPr>
      <w:lang w:eastAsia="zh-CN"/>
    </w:rPr>
    <w:tblPr>
      <w:tblStyleRowBandSize w:val="1"/>
      <w:tblStyleColBandSize w:val="1"/>
      <w:tblInd w:type="dxa" w:w="0"/>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type="dxa" w:w="0"/>
        <w:left w:type="dxa" w:w="0"/>
        <w:bottom w:type="dxa" w:w="0"/>
        <w:right w:type="dxa" w:w="0"/>
      </w:tblCellMar>
    </w:tblPr>
  </w:style>
  <w:style w:customStyle="1" w:styleId="Bordered-Accent1" w:type="table">
    <w:name w:val="Bordered - Accent 1"/>
    <w:uiPriority w:val="99"/>
    <w:rPr>
      <w:lang w:eastAsia="zh-CN"/>
    </w:rPr>
    <w:tblPr>
      <w:tblStyleRowBandSize w:val="1"/>
      <w:tblStyleColBandSize w:val="1"/>
      <w:tblInd w:type="dxa" w:w="0"/>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type="dxa" w:w="0"/>
        <w:left w:type="dxa" w:w="0"/>
        <w:bottom w:type="dxa" w:w="0"/>
        <w:right w:type="dxa" w:w="0"/>
      </w:tblCellMar>
    </w:tblPr>
  </w:style>
  <w:style w:customStyle="1" w:styleId="Bordered-Accent2" w:type="table">
    <w:name w:val="Bordered - Accent 2"/>
    <w:uiPriority w:val="99"/>
    <w:rPr>
      <w:lang w:eastAsia="zh-CN"/>
    </w:rPr>
    <w:tblPr>
      <w:tblStyleRowBandSize w:val="1"/>
      <w:tblStyleColBandSize w:val="1"/>
      <w:tblInd w:type="dxa" w:w="0"/>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type="dxa" w:w="0"/>
        <w:left w:type="dxa" w:w="0"/>
        <w:bottom w:type="dxa" w:w="0"/>
        <w:right w:type="dxa" w:w="0"/>
      </w:tblCellMar>
    </w:tblPr>
  </w:style>
  <w:style w:customStyle="1" w:styleId="Bordered-Accent3" w:type="table">
    <w:name w:val="Bordered - Accent 3"/>
    <w:uiPriority w:val="99"/>
    <w:rPr>
      <w:lang w:eastAsia="zh-CN"/>
    </w:rPr>
    <w:tblPr>
      <w:tblStyleRowBandSize w:val="1"/>
      <w:tblStyleColBandSize w:val="1"/>
      <w:tblInd w:type="dxa" w:w="0"/>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type="dxa" w:w="0"/>
        <w:left w:type="dxa" w:w="0"/>
        <w:bottom w:type="dxa" w:w="0"/>
        <w:right w:type="dxa" w:w="0"/>
      </w:tblCellMar>
    </w:tblPr>
  </w:style>
  <w:style w:customStyle="1" w:styleId="Bordered-Accent4" w:type="table">
    <w:name w:val="Bordered - Accent 4"/>
    <w:uiPriority w:val="99"/>
    <w:rPr>
      <w:lang w:eastAsia="zh-CN"/>
    </w:rPr>
    <w:tblPr>
      <w:tblStyleRowBandSize w:val="1"/>
      <w:tblStyleColBandSize w:val="1"/>
      <w:tblInd w:type="dxa" w:w="0"/>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type="dxa" w:w="0"/>
        <w:left w:type="dxa" w:w="0"/>
        <w:bottom w:type="dxa" w:w="0"/>
        <w:right w:type="dxa" w:w="0"/>
      </w:tblCellMar>
    </w:tblPr>
  </w:style>
  <w:style w:customStyle="1" w:styleId="Bordered-Accent5" w:type="table">
    <w:name w:val="Bordered - Accent 5"/>
    <w:uiPriority w:val="99"/>
    <w:rPr>
      <w:lang w:eastAsia="zh-CN"/>
    </w:rPr>
    <w:tblPr>
      <w:tblStyleRowBandSize w:val="1"/>
      <w:tblStyleColBandSize w:val="1"/>
      <w:tblInd w:type="dxa" w:w="0"/>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type="dxa" w:w="0"/>
        <w:left w:type="dxa" w:w="0"/>
        <w:bottom w:type="dxa" w:w="0"/>
        <w:right w:type="dxa" w:w="0"/>
      </w:tblCellMar>
    </w:tblPr>
  </w:style>
  <w:style w:customStyle="1" w:styleId="Bordered-Accent6" w:type="table">
    <w:name w:val="Bordered - Accent 6"/>
    <w:uiPriority w:val="99"/>
    <w:rPr>
      <w:lang w:eastAsia="zh-CN"/>
    </w:rPr>
    <w:tblPr>
      <w:tblStyleRowBandSize w:val="1"/>
      <w:tblStyleColBandSize w:val="1"/>
      <w:tblInd w:type="dxa" w:w="0"/>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type="dxa" w:w="0"/>
        <w:left w:type="dxa" w:w="0"/>
        <w:bottom w:type="dxa" w:w="0"/>
        <w:right w:type="dxa" w:w="0"/>
      </w:tblCellMar>
    </w:tblPr>
  </w:style>
  <w:style w:styleId="af1" w:type="character">
    <w:name w:val="Hyperlink"/>
    <w:uiPriority w:val="99"/>
    <w:unhideWhenUsed/>
    <w:rPr>
      <w:color w:val="0563C1"/>
      <w:u w:val="single"/>
    </w:rPr>
  </w:style>
  <w:style w:styleId="af2" w:type="paragraph">
    <w:name w:val="footnote text"/>
    <w:basedOn w:val="a"/>
    <w:link w:val="af3"/>
    <w:uiPriority w:val="99"/>
    <w:semiHidden/>
    <w:unhideWhenUsed/>
    <w:pPr>
      <w:spacing w:after="40" w:line="240" w:lineRule="auto"/>
    </w:pPr>
    <w:rPr>
      <w:sz w:val="18"/>
    </w:rPr>
  </w:style>
  <w:style w:customStyle="1" w:styleId="af3" w:type="character">
    <w:name w:val="Текст сноски Знак"/>
    <w:link w:val="af2"/>
    <w:uiPriority w:val="99"/>
    <w:rPr>
      <w:sz w:val="18"/>
    </w:rPr>
  </w:style>
  <w:style w:styleId="af4" w:type="character">
    <w:name w:val="footnote reference"/>
    <w:uiPriority w:val="99"/>
    <w:unhideWhenUsed/>
    <w:rPr>
      <w:vertAlign w:val="superscript"/>
    </w:rPr>
  </w:style>
  <w:style w:styleId="af5" w:type="paragraph">
    <w:name w:val="endnote text"/>
    <w:basedOn w:val="a"/>
    <w:link w:val="af6"/>
    <w:uiPriority w:val="99"/>
    <w:semiHidden/>
    <w:unhideWhenUsed/>
    <w:pPr>
      <w:spacing w:line="240" w:lineRule="auto"/>
    </w:pPr>
    <w:rPr>
      <w:sz w:val="20"/>
    </w:rPr>
  </w:style>
  <w:style w:customStyle="1" w:styleId="af6" w:type="character">
    <w:name w:val="Текст концевой сноски Знак"/>
    <w:link w:val="af5"/>
    <w:uiPriority w:val="99"/>
    <w:rPr>
      <w:sz w:val="20"/>
    </w:rPr>
  </w:style>
  <w:style w:styleId="af7" w:type="character">
    <w:name w:val="endnote reference"/>
    <w:uiPriority w:val="99"/>
    <w:semiHidden/>
    <w:unhideWhenUsed/>
    <w:rPr>
      <w:vertAlign w:val="superscript"/>
    </w:rPr>
  </w:style>
  <w:style w:styleId="12" w:type="paragraph">
    <w:name w:val="toc 1"/>
    <w:basedOn w:val="a"/>
    <w:next w:val="a"/>
    <w:uiPriority w:val="39"/>
    <w:unhideWhenUsed/>
    <w:pPr>
      <w:ind w:firstLine="0"/>
      <w:spacing w:after="100"/>
    </w:pPr>
    <w:rPr>
      <w:rFonts w:eastAsia="Times New Roman"/>
      <w:lang w:eastAsia="ru-RU"/>
    </w:rPr>
  </w:style>
  <w:style w:styleId="24" w:type="paragraph">
    <w:name w:val="toc 2"/>
    <w:basedOn w:val="a"/>
    <w:next w:val="a"/>
    <w:uiPriority w:val="39"/>
    <w:unhideWhenUsed/>
    <w:pPr>
      <w:ind w:firstLine="0"/>
      <w:spacing w:after="100"/>
    </w:pPr>
    <w:rPr>
      <w:rFonts w:eastAsia="Times New Roman"/>
      <w:lang w:eastAsia="ru-RU"/>
    </w:rPr>
  </w:style>
  <w:style w:styleId="32" w:type="paragraph">
    <w:name w:val="toc 3"/>
    <w:basedOn w:val="a"/>
    <w:next w:val="a"/>
    <w:uiPriority w:val="39"/>
    <w:unhideWhenUsed/>
    <w:pPr>
      <w:ind w:firstLine="0"/>
      <w:spacing w:after="100"/>
    </w:pPr>
    <w:rPr>
      <w:rFonts w:eastAsia="Times New Roman"/>
      <w:lang w:eastAsia="ru-RU"/>
    </w:rPr>
  </w:style>
  <w:style w:styleId="42" w:type="paragraph">
    <w:name w:val="toc 4"/>
    <w:basedOn w:val="a"/>
    <w:next w:val="a"/>
    <w:uiPriority w:val="39"/>
    <w:unhideWhenUsed/>
    <w:pPr>
      <w:ind w:firstLine="0"/>
      <w:spacing w:after="57"/>
    </w:pPr>
  </w:style>
  <w:style w:styleId="52" w:type="paragraph">
    <w:name w:val="toc 5"/>
    <w:basedOn w:val="a"/>
    <w:next w:val="a"/>
    <w:uiPriority w:val="39"/>
    <w:unhideWhenUsed/>
    <w:pPr>
      <w:ind w:firstLine="0"/>
      <w:spacing w:after="57"/>
    </w:pPr>
  </w:style>
  <w:style w:styleId="61" w:type="paragraph">
    <w:name w:val="toc 6"/>
    <w:basedOn w:val="a"/>
    <w:next w:val="a"/>
    <w:uiPriority w:val="39"/>
    <w:unhideWhenUsed/>
    <w:pPr>
      <w:ind w:firstLine="0"/>
      <w:spacing w:after="57"/>
    </w:pPr>
  </w:style>
  <w:style w:styleId="71" w:type="paragraph">
    <w:name w:val="toc 7"/>
    <w:basedOn w:val="a"/>
    <w:next w:val="a"/>
    <w:uiPriority w:val="39"/>
    <w:unhideWhenUsed/>
    <w:pPr>
      <w:ind w:firstLine="0"/>
      <w:spacing w:after="57"/>
    </w:pPr>
  </w:style>
  <w:style w:styleId="81" w:type="paragraph">
    <w:name w:val="toc 8"/>
    <w:basedOn w:val="a"/>
    <w:next w:val="a"/>
    <w:uiPriority w:val="39"/>
    <w:unhideWhenUsed/>
    <w:pPr>
      <w:ind w:firstLine="0"/>
      <w:spacing w:after="57"/>
    </w:pPr>
  </w:style>
  <w:style w:styleId="91" w:type="paragraph">
    <w:name w:val="toc 9"/>
    <w:basedOn w:val="a"/>
    <w:next w:val="a"/>
    <w:uiPriority w:val="39"/>
    <w:unhideWhenUsed/>
    <w:pPr>
      <w:ind w:firstLine="0"/>
      <w:spacing w:after="57"/>
    </w:pPr>
  </w:style>
  <w:style w:styleId="af8" w:type="paragraph">
    <w:name w:val="TOC Heading"/>
    <w:basedOn w:val="1"/>
    <w:next w:val="a"/>
    <w:uiPriority w:val="39"/>
    <w:unhideWhenUsed/>
    <w:qFormat/>
    <w:pPr>
      <w:outlineLvl w:val="9"/>
    </w:pPr>
    <w:rPr>
      <w:lang w:eastAsia="ru-RU"/>
    </w:rPr>
  </w:style>
  <w:style w:styleId="af9" w:type="paragraph">
    <w:name w:val="table of figures"/>
    <w:basedOn w:val="a"/>
    <w:next w:val="a"/>
    <w:uiPriority w:val="99"/>
    <w:unhideWhenUsed/>
  </w:style>
  <w:style w:customStyle="1" w:styleId="ac" w:type="character">
    <w:name w:val="Верхний колонтитул Знак"/>
    <w:basedOn w:val="a0"/>
    <w:link w:val="ab"/>
    <w:uiPriority w:val="99"/>
  </w:style>
  <w:style w:customStyle="1" w:styleId="ae" w:type="character">
    <w:name w:val="Нижний колонтитул Знак"/>
    <w:basedOn w:val="a0"/>
    <w:link w:val="ad"/>
    <w:uiPriority w:val="99"/>
  </w:style>
  <w:style w:styleId="afa" w:type="character">
    <w:name w:val="Placeholder Text"/>
    <w:uiPriority w:val="99"/>
    <w:semiHidden/>
    <w:rPr>
      <w:color w:val="808080"/>
    </w:rPr>
  </w:style>
  <w:style w:customStyle="1" w:styleId="10" w:type="character">
    <w:name w:val="Заголовок 1 Знак"/>
    <w:link w:val="1"/>
    <w:uiPriority w:val="9"/>
    <w:rsid w:val="006E54DC"/>
    <w:rPr>
      <w:rFonts w:ascii="Times New Roman" w:eastAsia="Times New Roman" w:hAnsi="Times New Roman"/>
      <w:b/>
      <w:sz w:val="28"/>
      <w:szCs w:val="32"/>
      <w:lang w:eastAsia="en-US"/>
    </w:rPr>
  </w:style>
  <w:style w:customStyle="1" w:styleId="a6" w:type="character">
    <w:name w:val="Заголовок Знак"/>
    <w:link w:val="a5"/>
    <w:uiPriority w:val="10"/>
    <w:rPr>
      <w:rFonts w:ascii="Calibri Light" w:cs="Times New Roman" w:eastAsia="Times New Roman" w:hAnsi="Calibri Light"/>
      <w:spacing w:val="-10"/>
      <w:sz w:val="56"/>
      <w:szCs w:val="56"/>
    </w:rPr>
  </w:style>
  <w:style w:customStyle="1" w:styleId="a8" w:type="character">
    <w:name w:val="Подзаголовок Знак"/>
    <w:link w:val="a7"/>
    <w:uiPriority w:val="11"/>
    <w:rPr>
      <w:rFonts w:eastAsia="Times New Roman"/>
      <w:color w:val="5A5A5A"/>
      <w:spacing w:val="15"/>
    </w:rPr>
  </w:style>
  <w:style w:customStyle="1" w:styleId="13" w:type="paragraph">
    <w:name w:val="Абзац списка1"/>
    <w:basedOn w:val="a"/>
    <w:uiPriority w:val="34"/>
    <w:qFormat/>
    <w:pPr>
      <w:spacing w:after="100" w:afterAutospacing="1" w:before="100" w:beforeAutospacing="1" w:line="273" w:lineRule="auto"/>
      <w:contextualSpacing/>
    </w:pPr>
    <w:rPr>
      <w:rFonts w:cs="MS Shell Dlg 2" w:eastAsia="Times New Roman"/>
      <w:sz w:val="24"/>
      <w:szCs w:val="24"/>
      <w:lang w:eastAsia="ru-RU"/>
    </w:rPr>
  </w:style>
  <w:style w:customStyle="1" w:styleId="Default" w:type="paragraph">
    <w:name w:val="Default"/>
    <w:rPr>
      <w:rFonts w:ascii="Times New Roman" w:hAnsi="Times New Roman"/>
      <w:color w:val="000000"/>
      <w:sz w:val="24"/>
      <w:szCs w:val="24"/>
      <w:lang w:eastAsia="en-US"/>
    </w:rPr>
  </w:style>
  <w:style w:styleId="afb" w:type="character">
    <w:name w:val="FollowedHyperlink"/>
    <w:uiPriority w:val="99"/>
    <w:semiHidden/>
    <w:unhideWhenUsed/>
    <w:rPr>
      <w:color w:val="954F72"/>
      <w:u w:val="single"/>
    </w:rPr>
  </w:style>
  <w:style w:styleId="afc" w:type="character">
    <w:name w:val="Unresolved Mention"/>
    <w:uiPriority w:val="99"/>
    <w:semiHidden/>
    <w:unhideWhenUsed/>
    <w:rsid w:val="00822806"/>
    <w:rPr>
      <w:color w:val="605E5C"/>
      <w:shd w:color="auto" w:fill="E1DFDD" w:val="clear"/>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632951">
      <w:bodyDiv w:val="1"/>
      <w:marLeft w:val="0"/>
      <w:marRight w:val="0"/>
      <w:marTop w:val="0"/>
      <w:marBottom w:val="0"/>
      <w:divBdr>
        <w:top w:val="none" w:sz="0" w:space="0" w:color="auto"/>
        <w:left w:val="none" w:sz="0" w:space="0" w:color="auto"/>
        <w:bottom w:val="none" w:sz="0" w:space="0" w:color="auto"/>
        <w:right w:val="none" w:sz="0" w:space="0" w:color="auto"/>
      </w:divBdr>
      <w:divsChild>
        <w:div w:id="743139825">
          <w:marLeft w:val="0"/>
          <w:marRight w:val="0"/>
          <w:marTop w:val="0"/>
          <w:marBottom w:val="210"/>
          <w:divBdr>
            <w:top w:val="none" w:sz="0" w:space="0" w:color="auto"/>
            <w:left w:val="none" w:sz="0" w:space="0" w:color="auto"/>
            <w:bottom w:val="none" w:sz="0" w:space="0" w:color="auto"/>
            <w:right w:val="none" w:sz="0" w:space="0" w:color="auto"/>
          </w:divBdr>
          <w:divsChild>
            <w:div w:id="18853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16" Target="numbering.xml" /><Relationship Type="http://schemas.openxmlformats.org/officeDocument/2006/relationships/styles" Id="rId15" Target="styles.xml" /><Relationship Type="http://schemas.openxmlformats.org/officeDocument/2006/relationships/settings" Id="rId14" Target="settings.xml" /><Relationship Type="http://schemas.openxmlformats.org/officeDocument/2006/relationships/webSettings" Id="rId13" Target="webSettings.xml" /><Relationship Type="http://schemas.openxmlformats.org/officeDocument/2006/relationships/fontTable" Id="rId12" Target="fontTable.xml" /><Relationship Type="http://schemas.openxmlformats.org/officeDocument/2006/relationships/theme" Id="rId11" Target="theme/theme1.xml" /><Relationship Type="http://schemas.openxmlformats.org/officeDocument/2006/relationships/footnotes" Id="rId10" Target="footnotes.xml" /><Relationship Id="rId8" Target="footer1.xml" Type="http://schemas.openxmlformats.org/officeDocument/2006/relationships/footer" /><Relationship Type="http://schemas.openxmlformats.org/officeDocument/2006/relationships/image" Id="rId76" Target="media/rId76.png" /><Relationship Type="http://schemas.openxmlformats.org/officeDocument/2006/relationships/image" Id="rId70" Target="media/rId70.png" /><Relationship Type="http://schemas.openxmlformats.org/officeDocument/2006/relationships/image" Id="rId79" Target="media/rId79.png" /><Relationship Type="http://schemas.openxmlformats.org/officeDocument/2006/relationships/image" Id="rId87" Target="media/rId87.png" /><Relationship Type="http://schemas.openxmlformats.org/officeDocument/2006/relationships/image" Id="rId91" Target="media/rId91.png" /><Relationship Type="http://schemas.openxmlformats.org/officeDocument/2006/relationships/image" Id="rId58" Target="media/rId58.png" /><Relationship Type="http://schemas.openxmlformats.org/officeDocument/2006/relationships/image" Id="rId41" Target="media/rId41.png" /><Relationship Type="http://schemas.openxmlformats.org/officeDocument/2006/relationships/image" Id="rId27" Target="media/rId27.png" /><Relationship Type="http://schemas.openxmlformats.org/officeDocument/2006/relationships/image" Id="rId54" Target="media/rId54.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45" Target="media/rId45.png" /><Relationship Type="http://schemas.openxmlformats.org/officeDocument/2006/relationships/image" Id="rId62" Target="media/rId62.png" /><Relationship Type="http://schemas.openxmlformats.org/officeDocument/2006/relationships/image" Id="rId83" Target="media/rId83.png" /><Relationship Type="http://schemas.openxmlformats.org/officeDocument/2006/relationships/image" Id="rId67" Target="media/rId67.png" /></Relationships>
</file>

<file path=word/_rels/footnotes.xml.rels><?xml version="1.0" encoding="UTF-8"?><Relationships xmlns="http://schemas.openxmlformats.org/package/2006/relationships" />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132</Words>
  <Characters>756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CharactersWithSpaces>
  <SharedDoc>false</SharedDoc>
  <HLinks>
    <vt:vector size="168" baseType="variant">
      <vt:variant>
        <vt:i4>1376313</vt:i4>
      </vt:variant>
      <vt:variant>
        <vt:i4>164</vt:i4>
      </vt:variant>
      <vt:variant>
        <vt:i4>0</vt:i4>
      </vt:variant>
      <vt:variant>
        <vt:i4>5</vt:i4>
      </vt:variant>
      <vt:variant>
        <vt:lpwstr/>
      </vt:variant>
      <vt:variant>
        <vt:lpwstr>_Toc168363643</vt:lpwstr>
      </vt:variant>
      <vt:variant>
        <vt:i4>1376313</vt:i4>
      </vt:variant>
      <vt:variant>
        <vt:i4>158</vt:i4>
      </vt:variant>
      <vt:variant>
        <vt:i4>0</vt:i4>
      </vt:variant>
      <vt:variant>
        <vt:i4>5</vt:i4>
      </vt:variant>
      <vt:variant>
        <vt:lpwstr/>
      </vt:variant>
      <vt:variant>
        <vt:lpwstr>_Toc168363642</vt:lpwstr>
      </vt:variant>
      <vt:variant>
        <vt:i4>1376313</vt:i4>
      </vt:variant>
      <vt:variant>
        <vt:i4>152</vt:i4>
      </vt:variant>
      <vt:variant>
        <vt:i4>0</vt:i4>
      </vt:variant>
      <vt:variant>
        <vt:i4>5</vt:i4>
      </vt:variant>
      <vt:variant>
        <vt:lpwstr/>
      </vt:variant>
      <vt:variant>
        <vt:lpwstr>_Toc168363641</vt:lpwstr>
      </vt:variant>
      <vt:variant>
        <vt:i4>1376313</vt:i4>
      </vt:variant>
      <vt:variant>
        <vt:i4>146</vt:i4>
      </vt:variant>
      <vt:variant>
        <vt:i4>0</vt:i4>
      </vt:variant>
      <vt:variant>
        <vt:i4>5</vt:i4>
      </vt:variant>
      <vt:variant>
        <vt:lpwstr/>
      </vt:variant>
      <vt:variant>
        <vt:lpwstr>_Toc168363640</vt:lpwstr>
      </vt:variant>
      <vt:variant>
        <vt:i4>1179705</vt:i4>
      </vt:variant>
      <vt:variant>
        <vt:i4>140</vt:i4>
      </vt:variant>
      <vt:variant>
        <vt:i4>0</vt:i4>
      </vt:variant>
      <vt:variant>
        <vt:i4>5</vt:i4>
      </vt:variant>
      <vt:variant>
        <vt:lpwstr/>
      </vt:variant>
      <vt:variant>
        <vt:lpwstr>_Toc168363639</vt:lpwstr>
      </vt:variant>
      <vt:variant>
        <vt:i4>1179705</vt:i4>
      </vt:variant>
      <vt:variant>
        <vt:i4>134</vt:i4>
      </vt:variant>
      <vt:variant>
        <vt:i4>0</vt:i4>
      </vt:variant>
      <vt:variant>
        <vt:i4>5</vt:i4>
      </vt:variant>
      <vt:variant>
        <vt:lpwstr/>
      </vt:variant>
      <vt:variant>
        <vt:lpwstr>_Toc168363638</vt:lpwstr>
      </vt:variant>
      <vt:variant>
        <vt:i4>1179705</vt:i4>
      </vt:variant>
      <vt:variant>
        <vt:i4>128</vt:i4>
      </vt:variant>
      <vt:variant>
        <vt:i4>0</vt:i4>
      </vt:variant>
      <vt:variant>
        <vt:i4>5</vt:i4>
      </vt:variant>
      <vt:variant>
        <vt:lpwstr/>
      </vt:variant>
      <vt:variant>
        <vt:lpwstr>_Toc168363637</vt:lpwstr>
      </vt:variant>
      <vt:variant>
        <vt:i4>1179705</vt:i4>
      </vt:variant>
      <vt:variant>
        <vt:i4>122</vt:i4>
      </vt:variant>
      <vt:variant>
        <vt:i4>0</vt:i4>
      </vt:variant>
      <vt:variant>
        <vt:i4>5</vt:i4>
      </vt:variant>
      <vt:variant>
        <vt:lpwstr/>
      </vt:variant>
      <vt:variant>
        <vt:lpwstr>_Toc168363636</vt:lpwstr>
      </vt:variant>
      <vt:variant>
        <vt:i4>1179705</vt:i4>
      </vt:variant>
      <vt:variant>
        <vt:i4>116</vt:i4>
      </vt:variant>
      <vt:variant>
        <vt:i4>0</vt:i4>
      </vt:variant>
      <vt:variant>
        <vt:i4>5</vt:i4>
      </vt:variant>
      <vt:variant>
        <vt:lpwstr/>
      </vt:variant>
      <vt:variant>
        <vt:lpwstr>_Toc168363635</vt:lpwstr>
      </vt:variant>
      <vt:variant>
        <vt:i4>1179705</vt:i4>
      </vt:variant>
      <vt:variant>
        <vt:i4>110</vt:i4>
      </vt:variant>
      <vt:variant>
        <vt:i4>0</vt:i4>
      </vt:variant>
      <vt:variant>
        <vt:i4>5</vt:i4>
      </vt:variant>
      <vt:variant>
        <vt:lpwstr/>
      </vt:variant>
      <vt:variant>
        <vt:lpwstr>_Toc168363634</vt:lpwstr>
      </vt:variant>
      <vt:variant>
        <vt:i4>1179705</vt:i4>
      </vt:variant>
      <vt:variant>
        <vt:i4>104</vt:i4>
      </vt:variant>
      <vt:variant>
        <vt:i4>0</vt:i4>
      </vt:variant>
      <vt:variant>
        <vt:i4>5</vt:i4>
      </vt:variant>
      <vt:variant>
        <vt:lpwstr/>
      </vt:variant>
      <vt:variant>
        <vt:lpwstr>_Toc168363633</vt:lpwstr>
      </vt:variant>
      <vt:variant>
        <vt:i4>1179705</vt:i4>
      </vt:variant>
      <vt:variant>
        <vt:i4>98</vt:i4>
      </vt:variant>
      <vt:variant>
        <vt:i4>0</vt:i4>
      </vt:variant>
      <vt:variant>
        <vt:i4>5</vt:i4>
      </vt:variant>
      <vt:variant>
        <vt:lpwstr/>
      </vt:variant>
      <vt:variant>
        <vt:lpwstr>_Toc168363632</vt:lpwstr>
      </vt:variant>
      <vt:variant>
        <vt:i4>1179705</vt:i4>
      </vt:variant>
      <vt:variant>
        <vt:i4>92</vt:i4>
      </vt:variant>
      <vt:variant>
        <vt:i4>0</vt:i4>
      </vt:variant>
      <vt:variant>
        <vt:i4>5</vt:i4>
      </vt:variant>
      <vt:variant>
        <vt:lpwstr/>
      </vt:variant>
      <vt:variant>
        <vt:lpwstr>_Toc168363631</vt:lpwstr>
      </vt:variant>
      <vt:variant>
        <vt:i4>1179705</vt:i4>
      </vt:variant>
      <vt:variant>
        <vt:i4>86</vt:i4>
      </vt:variant>
      <vt:variant>
        <vt:i4>0</vt:i4>
      </vt:variant>
      <vt:variant>
        <vt:i4>5</vt:i4>
      </vt:variant>
      <vt:variant>
        <vt:lpwstr/>
      </vt:variant>
      <vt:variant>
        <vt:lpwstr>_Toc168363630</vt:lpwstr>
      </vt:variant>
      <vt:variant>
        <vt:i4>1245241</vt:i4>
      </vt:variant>
      <vt:variant>
        <vt:i4>80</vt:i4>
      </vt:variant>
      <vt:variant>
        <vt:i4>0</vt:i4>
      </vt:variant>
      <vt:variant>
        <vt:i4>5</vt:i4>
      </vt:variant>
      <vt:variant>
        <vt:lpwstr/>
      </vt:variant>
      <vt:variant>
        <vt:lpwstr>_Toc168363629</vt:lpwstr>
      </vt:variant>
      <vt:variant>
        <vt:i4>1245241</vt:i4>
      </vt:variant>
      <vt:variant>
        <vt:i4>74</vt:i4>
      </vt:variant>
      <vt:variant>
        <vt:i4>0</vt:i4>
      </vt:variant>
      <vt:variant>
        <vt:i4>5</vt:i4>
      </vt:variant>
      <vt:variant>
        <vt:lpwstr/>
      </vt:variant>
      <vt:variant>
        <vt:lpwstr>_Toc168363628</vt:lpwstr>
      </vt:variant>
      <vt:variant>
        <vt:i4>1245241</vt:i4>
      </vt:variant>
      <vt:variant>
        <vt:i4>68</vt:i4>
      </vt:variant>
      <vt:variant>
        <vt:i4>0</vt:i4>
      </vt:variant>
      <vt:variant>
        <vt:i4>5</vt:i4>
      </vt:variant>
      <vt:variant>
        <vt:lpwstr/>
      </vt:variant>
      <vt:variant>
        <vt:lpwstr>_Toc168363627</vt:lpwstr>
      </vt:variant>
      <vt:variant>
        <vt:i4>1245241</vt:i4>
      </vt:variant>
      <vt:variant>
        <vt:i4>62</vt:i4>
      </vt:variant>
      <vt:variant>
        <vt:i4>0</vt:i4>
      </vt:variant>
      <vt:variant>
        <vt:i4>5</vt:i4>
      </vt:variant>
      <vt:variant>
        <vt:lpwstr/>
      </vt:variant>
      <vt:variant>
        <vt:lpwstr>_Toc168363626</vt:lpwstr>
      </vt:variant>
      <vt:variant>
        <vt:i4>1245241</vt:i4>
      </vt:variant>
      <vt:variant>
        <vt:i4>56</vt:i4>
      </vt:variant>
      <vt:variant>
        <vt:i4>0</vt:i4>
      </vt:variant>
      <vt:variant>
        <vt:i4>5</vt:i4>
      </vt:variant>
      <vt:variant>
        <vt:lpwstr/>
      </vt:variant>
      <vt:variant>
        <vt:lpwstr>_Toc168363625</vt:lpwstr>
      </vt:variant>
      <vt:variant>
        <vt:i4>1245241</vt:i4>
      </vt:variant>
      <vt:variant>
        <vt:i4>50</vt:i4>
      </vt:variant>
      <vt:variant>
        <vt:i4>0</vt:i4>
      </vt:variant>
      <vt:variant>
        <vt:i4>5</vt:i4>
      </vt:variant>
      <vt:variant>
        <vt:lpwstr/>
      </vt:variant>
      <vt:variant>
        <vt:lpwstr>_Toc168363624</vt:lpwstr>
      </vt:variant>
      <vt:variant>
        <vt:i4>1245241</vt:i4>
      </vt:variant>
      <vt:variant>
        <vt:i4>44</vt:i4>
      </vt:variant>
      <vt:variant>
        <vt:i4>0</vt:i4>
      </vt:variant>
      <vt:variant>
        <vt:i4>5</vt:i4>
      </vt:variant>
      <vt:variant>
        <vt:lpwstr/>
      </vt:variant>
      <vt:variant>
        <vt:lpwstr>_Toc168363623</vt:lpwstr>
      </vt:variant>
      <vt:variant>
        <vt:i4>1245241</vt:i4>
      </vt:variant>
      <vt:variant>
        <vt:i4>38</vt:i4>
      </vt:variant>
      <vt:variant>
        <vt:i4>0</vt:i4>
      </vt:variant>
      <vt:variant>
        <vt:i4>5</vt:i4>
      </vt:variant>
      <vt:variant>
        <vt:lpwstr/>
      </vt:variant>
      <vt:variant>
        <vt:lpwstr>_Toc168363622</vt:lpwstr>
      </vt:variant>
      <vt:variant>
        <vt:i4>1245241</vt:i4>
      </vt:variant>
      <vt:variant>
        <vt:i4>32</vt:i4>
      </vt:variant>
      <vt:variant>
        <vt:i4>0</vt:i4>
      </vt:variant>
      <vt:variant>
        <vt:i4>5</vt:i4>
      </vt:variant>
      <vt:variant>
        <vt:lpwstr/>
      </vt:variant>
      <vt:variant>
        <vt:lpwstr>_Toc168363621</vt:lpwstr>
      </vt:variant>
      <vt:variant>
        <vt:i4>1245241</vt:i4>
      </vt:variant>
      <vt:variant>
        <vt:i4>26</vt:i4>
      </vt:variant>
      <vt:variant>
        <vt:i4>0</vt:i4>
      </vt:variant>
      <vt:variant>
        <vt:i4>5</vt:i4>
      </vt:variant>
      <vt:variant>
        <vt:lpwstr/>
      </vt:variant>
      <vt:variant>
        <vt:lpwstr>_Toc168363620</vt:lpwstr>
      </vt:variant>
      <vt:variant>
        <vt:i4>1048633</vt:i4>
      </vt:variant>
      <vt:variant>
        <vt:i4>20</vt:i4>
      </vt:variant>
      <vt:variant>
        <vt:i4>0</vt:i4>
      </vt:variant>
      <vt:variant>
        <vt:i4>5</vt:i4>
      </vt:variant>
      <vt:variant>
        <vt:lpwstr/>
      </vt:variant>
      <vt:variant>
        <vt:lpwstr>_Toc168363619</vt:lpwstr>
      </vt:variant>
      <vt:variant>
        <vt:i4>1048633</vt:i4>
      </vt:variant>
      <vt:variant>
        <vt:i4>14</vt:i4>
      </vt:variant>
      <vt:variant>
        <vt:i4>0</vt:i4>
      </vt:variant>
      <vt:variant>
        <vt:i4>5</vt:i4>
      </vt:variant>
      <vt:variant>
        <vt:lpwstr/>
      </vt:variant>
      <vt:variant>
        <vt:lpwstr>_Toc168363618</vt:lpwstr>
      </vt:variant>
      <vt:variant>
        <vt:i4>1048633</vt:i4>
      </vt:variant>
      <vt:variant>
        <vt:i4>8</vt:i4>
      </vt:variant>
      <vt:variant>
        <vt:i4>0</vt:i4>
      </vt:variant>
      <vt:variant>
        <vt:i4>5</vt:i4>
      </vt:variant>
      <vt:variant>
        <vt:lpwstr/>
      </vt:variant>
      <vt:variant>
        <vt:lpwstr>_Toc168363617</vt:lpwstr>
      </vt:variant>
      <vt:variant>
        <vt:i4>1048633</vt:i4>
      </vt:variant>
      <vt:variant>
        <vt:i4>2</vt:i4>
      </vt:variant>
      <vt:variant>
        <vt:i4>0</vt:i4>
      </vt:variant>
      <vt:variant>
        <vt:i4>5</vt:i4>
      </vt:variant>
      <vt:variant>
        <vt:lpwstr/>
      </vt:variant>
      <vt:variant>
        <vt:lpwstr>_Toc168363616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ru-RU</dc:language>
  <cp:keywords/>
  <dcterms:created xsi:type="dcterms:W3CDTF">2026-06-17T13:38:58Z</dcterms:created>
  <dcterms:modified xsi:type="dcterms:W3CDTF">2026-06-17T13:38:58Z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EqnLabels">
    <vt:lpwstr>False</vt:lpwstr>
  </property>
  <property fmtid="{D5CDD505-2E9C-101B-9397-08002B2CF9AE}" pid="3" name="autoSectionLabels">
    <vt:lpwstr>False</vt:lpwstr>
  </property>
  <property fmtid="{D5CDD505-2E9C-101B-9397-08002B2CF9AE}" pid="4" name="ccsDelim">
    <vt:lpwstr>, </vt:lpwstr>
  </property>
  <property fmtid="{D5CDD505-2E9C-101B-9397-08002B2CF9AE}" pid="5" name="ccsLabelSep">
    <vt:lpwstr> — </vt:lpwstr>
  </property>
  <property fmtid="{D5CDD505-2E9C-101B-9397-08002B2CF9AE}" pid="6" name="ccsTemplate">
    <vt:lpwstr>iccsLabelSept</vt:lpwstr>
  </property>
  <property fmtid="{D5CDD505-2E9C-101B-9397-08002B2CF9AE}" pid="7" name="chapDelim">
    <vt:lpwstr>.</vt:lpwstr>
  </property>
  <property fmtid="{D5CDD505-2E9C-101B-9397-08002B2CF9AE}" pid="8" name="chapters">
    <vt:lpwstr>False</vt:lpwstr>
  </property>
  <property fmtid="{D5CDD505-2E9C-101B-9397-08002B2CF9AE}" pid="9" name="chaptersDepth">
    <vt:lpwstr>1</vt:lpwstr>
  </property>
  <property fmtid="{D5CDD505-2E9C-101B-9397-08002B2CF9AE}" pid="10" name="codeBlockCaptions">
    <vt:lpwstr>False</vt:lpwstr>
  </property>
  <property fmtid="{D5CDD505-2E9C-101B-9397-08002B2CF9AE}" pid="11" name="cref">
    <vt:lpwstr>False</vt:lpwstr>
  </property>
  <property fmtid="{D5CDD505-2E9C-101B-9397-08002B2CF9AE}" pid="12" name="crossrefYaml">
    <vt:lpwstr>pandoc-crossref.yaml</vt:lpwstr>
  </property>
  <property fmtid="{D5CDD505-2E9C-101B-9397-08002B2CF9AE}" pid="13" name="eqLabels">
    <vt:lpwstr>arabic</vt:lpwstr>
  </property>
  <property fmtid="{D5CDD505-2E9C-101B-9397-08002B2CF9AE}" pid="14" name="eqnBlockInlineMath">
    <vt:lpwstr>False</vt:lpwstr>
  </property>
  <property fmtid="{D5CDD505-2E9C-101B-9397-08002B2CF9AE}" pid="15" name="eqnBlockTemplate">
    <vt:lpwstr>ti</vt:lpwstr>
  </property>
  <property fmtid="{D5CDD505-2E9C-101B-9397-08002B2CF9AE}" pid="16" name="eqnDisplayTemplate">
    <vt:lpwstr>e</vt:lpwstr>
  </property>
  <property fmtid="{D5CDD505-2E9C-101B-9397-08002B2CF9AE}" pid="17" name="eqnIndexTemplate">
    <vt:lpwstr>(i)</vt:lpwstr>
  </property>
  <property fmtid="{D5CDD505-2E9C-101B-9397-08002B2CF9AE}" pid="18" name="eqnInlineTableTemplate">
    <vt:lpwstr>e</vt:lpwstr>
  </property>
  <property fmtid="{D5CDD505-2E9C-101B-9397-08002B2CF9AE}" pid="19" name="eqnInlineTemplate">
    <vt:lpwstr>eequationNumberTeX{i}</vt:lpwstr>
  </property>
  <property fmtid="{D5CDD505-2E9C-101B-9397-08002B2CF9AE}" pid="20" name="eqnPrefix">
    <vt:lpwstr/>
  </property>
  <property fmtid="{D5CDD505-2E9C-101B-9397-08002B2CF9AE}" pid="21" name="eqnPrefixTemplate">
    <vt:lpwstr>p i</vt:lpwstr>
  </property>
  <property fmtid="{D5CDD505-2E9C-101B-9397-08002B2CF9AE}" pid="22" name="equationNumberTeX">
    <vt:lpwstr>\qquad</vt:lpwstr>
  </property>
  <property fmtid="{D5CDD505-2E9C-101B-9397-08002B2CF9AE}" pid="23" name="figLabels">
    <vt:lpwstr>arabic</vt:lpwstr>
  </property>
  <property fmtid="{D5CDD505-2E9C-101B-9397-08002B2CF9AE}" pid="24" name="figPrefix">
    <vt:lpwstr>рисунок</vt:lpwstr>
  </property>
  <property fmtid="{D5CDD505-2E9C-101B-9397-08002B2CF9AE}" pid="25" name="figPrefixTemplate">
    <vt:lpwstr>p i</vt:lpwstr>
  </property>
  <property fmtid="{D5CDD505-2E9C-101B-9397-08002B2CF9AE}" pid="26" name="figureTemplate">
    <vt:lpwstr>figureTitle ititleDelim t</vt:lpwstr>
  </property>
  <property fmtid="{D5CDD505-2E9C-101B-9397-08002B2CF9AE}" pid="27" name="figureTitle">
    <vt:lpwstr>Рисунок</vt:lpwstr>
  </property>
  <property fmtid="{D5CDD505-2E9C-101B-9397-08002B2CF9AE}" pid="28" name="lastDelim">
    <vt:lpwstr>, </vt:lpwstr>
  </property>
  <property fmtid="{D5CDD505-2E9C-101B-9397-08002B2CF9AE}" pid="29" name="linkReferences">
    <vt:lpwstr>True</vt:lpwstr>
  </property>
  <property fmtid="{D5CDD505-2E9C-101B-9397-08002B2CF9AE}" pid="30" name="listItemTitleDelim">
    <vt:lpwstr>.</vt:lpwstr>
  </property>
  <property fmtid="{D5CDD505-2E9C-101B-9397-08002B2CF9AE}" pid="31" name="listOfMetadata">
    <vt:lpwstr>False</vt:lpwstr>
  </property>
  <property fmtid="{D5CDD505-2E9C-101B-9397-08002B2CF9AE}" pid="32" name="listingTemplate">
    <vt:lpwstr>listingTitle ititleDelim t</vt:lpwstr>
  </property>
  <property fmtid="{D5CDD505-2E9C-101B-9397-08002B2CF9AE}" pid="33" name="listingTitle">
    <vt:lpwstr>Листинг</vt:lpwstr>
  </property>
  <property fmtid="{D5CDD505-2E9C-101B-9397-08002B2CF9AE}" pid="34" name="listings">
    <vt:lpwstr>False</vt:lpwstr>
  </property>
  <property fmtid="{D5CDD505-2E9C-101B-9397-08002B2CF9AE}" pid="35" name="lofItemTemplate">
    <vt:lpwstr>lofItemTitleilistItemTitleDelimt </vt:lpwstr>
  </property>
  <property fmtid="{D5CDD505-2E9C-101B-9397-08002B2CF9AE}" pid="36" name="lofItemTitle">
    <vt:lpwstr/>
  </property>
  <property fmtid="{D5CDD505-2E9C-101B-9397-08002B2CF9AE}" pid="37" name="lofTitle">
    <vt:lpwstr>List of Figures</vt:lpwstr>
  </property>
  <property fmtid="{D5CDD505-2E9C-101B-9397-08002B2CF9AE}" pid="38" name="lolItemTemplate">
    <vt:lpwstr>lolItemTitleilistItemTitleDelimt </vt:lpwstr>
  </property>
  <property fmtid="{D5CDD505-2E9C-101B-9397-08002B2CF9AE}" pid="39" name="lolItemTitle">
    <vt:lpwstr/>
  </property>
  <property fmtid="{D5CDD505-2E9C-101B-9397-08002B2CF9AE}" pid="40" name="lolTitle">
    <vt:lpwstr>List of Listings</vt:lpwstr>
  </property>
  <property fmtid="{D5CDD505-2E9C-101B-9397-08002B2CF9AE}" pid="41" name="lotItemTemplate">
    <vt:lpwstr>lotItemTitleilistItemTitleDelimt </vt:lpwstr>
  </property>
  <property fmtid="{D5CDD505-2E9C-101B-9397-08002B2CF9AE}" pid="42" name="lotItemTitle">
    <vt:lpwstr/>
  </property>
  <property fmtid="{D5CDD505-2E9C-101B-9397-08002B2CF9AE}" pid="43" name="lotTitle">
    <vt:lpwstr>List of Tables</vt:lpwstr>
  </property>
  <property fmtid="{D5CDD505-2E9C-101B-9397-08002B2CF9AE}" pid="44" name="lstLabels">
    <vt:lpwstr>arabic</vt:lpwstr>
  </property>
  <property fmtid="{D5CDD505-2E9C-101B-9397-08002B2CF9AE}" pid="45" name="lstPrefix">
    <vt:lpwstr>листинг</vt:lpwstr>
  </property>
  <property fmtid="{D5CDD505-2E9C-101B-9397-08002B2CF9AE}" pid="46" name="lstPrefixTemplate">
    <vt:lpwstr>p i</vt:lpwstr>
  </property>
  <property fmtid="{D5CDD505-2E9C-101B-9397-08002B2CF9AE}" pid="47" name="nameInLink">
    <vt:lpwstr>False</vt:lpwstr>
  </property>
  <property fmtid="{D5CDD505-2E9C-101B-9397-08002B2CF9AE}" pid="48" name="numberSections">
    <vt:lpwstr>False</vt:lpwstr>
  </property>
  <property fmtid="{D5CDD505-2E9C-101B-9397-08002B2CF9AE}" pid="49" name="pairDelim">
    <vt:lpwstr>, </vt:lpwstr>
  </property>
  <property fmtid="{D5CDD505-2E9C-101B-9397-08002B2CF9AE}" pid="50" name="rangeDelim">
    <vt:lpwstr>-</vt:lpwstr>
  </property>
  <property fmtid="{D5CDD505-2E9C-101B-9397-08002B2CF9AE}" pid="51" name="refDelim">
    <vt:lpwstr>, </vt:lpwstr>
  </property>
  <property fmtid="{D5CDD505-2E9C-101B-9397-08002B2CF9AE}" pid="52" name="refIndexTemplate">
    <vt:lpwstr>isuf</vt:lpwstr>
  </property>
  <property fmtid="{D5CDD505-2E9C-101B-9397-08002B2CF9AE}" pid="53" name="secHeaderDelim">
    <vt:lpwstr> </vt:lpwstr>
  </property>
  <property fmtid="{D5CDD505-2E9C-101B-9397-08002B2CF9AE}" pid="54" name="secHeaderTemplate">
    <vt:lpwstr>isecHeaderDelim[n]t</vt:lpwstr>
  </property>
  <property fmtid="{D5CDD505-2E9C-101B-9397-08002B2CF9AE}" pid="55" name="secLabels">
    <vt:lpwstr>arabic</vt:lpwstr>
  </property>
  <property fmtid="{D5CDD505-2E9C-101B-9397-08002B2CF9AE}" pid="56" name="secPrefix">
    <vt:lpwstr>раздел</vt:lpwstr>
  </property>
  <property fmtid="{D5CDD505-2E9C-101B-9397-08002B2CF9AE}" pid="57" name="secPrefixTemplate">
    <vt:lpwstr>p i</vt:lpwstr>
  </property>
  <property fmtid="{D5CDD505-2E9C-101B-9397-08002B2CF9AE}" pid="58" name="sectionsDepth">
    <vt:lpwstr>0</vt:lpwstr>
  </property>
  <property fmtid="{D5CDD505-2E9C-101B-9397-08002B2CF9AE}" pid="59" name="subfigGrid">
    <vt:lpwstr>False</vt:lpwstr>
  </property>
  <property fmtid="{D5CDD505-2E9C-101B-9397-08002B2CF9AE}" pid="60" name="subfigLabels">
    <vt:lpwstr>alpha a</vt:lpwstr>
  </property>
  <property fmtid="{D5CDD505-2E9C-101B-9397-08002B2CF9AE}" pid="61" name="subfigureChildTemplate">
    <vt:lpwstr>i</vt:lpwstr>
  </property>
  <property fmtid="{D5CDD505-2E9C-101B-9397-08002B2CF9AE}" pid="62" name="subfigureRefIndexTemplate">
    <vt:lpwstr>isuf (s)</vt:lpwstr>
  </property>
  <property fmtid="{D5CDD505-2E9C-101B-9397-08002B2CF9AE}" pid="63" name="subfigureTemplate">
    <vt:lpwstr>figureTitle ititleDelim t. ccs</vt:lpwstr>
  </property>
  <property fmtid="{D5CDD505-2E9C-101B-9397-08002B2CF9AE}" pid="64" name="tableEqns">
    <vt:lpwstr>False</vt:lpwstr>
  </property>
  <property fmtid="{D5CDD505-2E9C-101B-9397-08002B2CF9AE}" pid="65" name="tableTemplate">
    <vt:lpwstr>tableTitle ititleDelim t</vt:lpwstr>
  </property>
  <property fmtid="{D5CDD505-2E9C-101B-9397-08002B2CF9AE}" pid="66" name="tableTitle">
    <vt:lpwstr>Таблица</vt:lpwstr>
  </property>
  <property fmtid="{D5CDD505-2E9C-101B-9397-08002B2CF9AE}" pid="67" name="tblLabels">
    <vt:lpwstr>arabic</vt:lpwstr>
  </property>
  <property fmtid="{D5CDD505-2E9C-101B-9397-08002B2CF9AE}" pid="68" name="tblPrefix">
    <vt:lpwstr>таблица</vt:lpwstr>
  </property>
  <property fmtid="{D5CDD505-2E9C-101B-9397-08002B2CF9AE}" pid="69" name="tblPrefixTemplate">
    <vt:lpwstr>p i</vt:lpwstr>
  </property>
  <property fmtid="{D5CDD505-2E9C-101B-9397-08002B2CF9AE}" pid="70" name="titleDelim">
    <vt:lpwstr>—</vt:lpwstr>
  </property>
  <property fmtid="{D5CDD505-2E9C-101B-9397-08002B2CF9AE}" pid="71" name="toc-title">
    <vt:lpwstr>СОДЕРЖАНИЕ</vt:lpwstr>
  </property>
</Properties>
</file>